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C5" w:rsidRDefault="007852C5" w:rsidP="007852C5">
      <w:pPr>
        <w:pStyle w:val="ConsPlusNormal"/>
        <w:jc w:val="both"/>
        <w:outlineLvl w:val="1"/>
      </w:pPr>
      <w:r>
        <w:rPr>
          <w:b/>
        </w:rPr>
        <w:t>НАЛОГИ, СБОРЫ И ДРУГИЕ ОБЯЗАТЕЛЬНЫЕ ПЛАТЕЖИ</w:t>
      </w:r>
    </w:p>
    <w:p w:rsidR="007852C5" w:rsidRDefault="007852C5" w:rsidP="007852C5">
      <w:pPr>
        <w:pStyle w:val="ConsPlusNormal"/>
        <w:spacing w:before="240"/>
        <w:jc w:val="both"/>
      </w:pPr>
      <w:r>
        <w:rPr>
          <w:b/>
        </w:rPr>
        <w:t>В рамках реализации основных направлений налоговой политики Минфином России разработан проект закона о внесении изменений в НК РФ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852C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7BEE32B" wp14:editId="611DB3C6">
                  <wp:extent cx="114300" cy="142875"/>
                  <wp:effectExtent l="0" t="0" r="0" b="0"/>
                  <wp:docPr id="9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852C5" w:rsidRDefault="007852C5" w:rsidP="005611D8">
            <w:pPr>
              <w:pStyle w:val="ConsPlusNormal"/>
            </w:pPr>
            <w:r>
              <w:rPr>
                <w:sz w:val="20"/>
              </w:rPr>
              <w:t>Проект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Федерации" (не внесен в ГД ФС РФ)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</w:tr>
    </w:tbl>
    <w:p w:rsidR="007852C5" w:rsidRDefault="007852C5" w:rsidP="007852C5">
      <w:pPr>
        <w:pStyle w:val="ConsPlusNormal"/>
        <w:spacing w:before="240"/>
        <w:jc w:val="both"/>
      </w:pPr>
      <w:r>
        <w:t>Проект содержит многочисленные поправки, направленные на совершенствование налогового администрирования, распространение системы налогового мониторинга на более широкий круг налогоплательщиков, уточнение параметров налогообложения и предоставление мер поддержки участникам СВО и членам их семей.</w:t>
      </w:r>
    </w:p>
    <w:p w:rsidR="007852C5" w:rsidRDefault="007852C5" w:rsidP="007852C5">
      <w:pPr>
        <w:pStyle w:val="ConsPlusNormal"/>
        <w:spacing w:before="240"/>
        <w:jc w:val="both"/>
      </w:pPr>
      <w:r>
        <w:t>Так, в частности, в целях сокращения кассовых разрывов днем окончания срока уплаты налогов предлагается установить предшествующий рабочий день в случае, когда последний день срока уплаты налога приходится на нерабочий день.</w:t>
      </w:r>
    </w:p>
    <w:p w:rsidR="007852C5" w:rsidRDefault="007852C5" w:rsidP="007852C5">
      <w:pPr>
        <w:pStyle w:val="ConsPlusNormal"/>
        <w:spacing w:before="240"/>
        <w:jc w:val="both"/>
      </w:pPr>
      <w:r>
        <w:t>Для применения налогового мониторинга планируется отменить обязательность соответствия трем установленным критериям.</w:t>
      </w:r>
    </w:p>
    <w:p w:rsidR="007852C5" w:rsidRDefault="007852C5" w:rsidP="007852C5">
      <w:pPr>
        <w:pStyle w:val="ConsPlusNormal"/>
        <w:spacing w:before="240"/>
        <w:jc w:val="both"/>
      </w:pPr>
      <w:r>
        <w:t>Также уточнения коснутся ряда налогов, в том числе НДС, НДФЛ, налога на прибыль, НДПИ, имущественных налогов.</w:t>
      </w:r>
    </w:p>
    <w:p w:rsidR="007852C5" w:rsidRDefault="007852C5" w:rsidP="007852C5">
      <w:pPr>
        <w:pStyle w:val="ConsPlusNormal"/>
        <w:spacing w:before="240"/>
        <w:jc w:val="both"/>
      </w:pPr>
      <w:r>
        <w:t>В числе прочего проект содержит дополнительные налоговые преференции для семей с детьми и участников СВО.</w:t>
      </w:r>
    </w:p>
    <w:p w:rsidR="007852C5" w:rsidRDefault="007852C5" w:rsidP="007852C5">
      <w:pPr>
        <w:pStyle w:val="ConsPlusNormal"/>
        <w:jc w:val="both"/>
      </w:pPr>
    </w:p>
    <w:p w:rsidR="007852C5" w:rsidRDefault="007852C5" w:rsidP="007852C5">
      <w:pPr>
        <w:pStyle w:val="ConsPlusNormal"/>
        <w:jc w:val="both"/>
      </w:pPr>
      <w:r>
        <w:rPr>
          <w:b/>
        </w:rPr>
        <w:t>Подготовлен проект правил, предусматривающих условия и порядок предоставления налогового вычета в целях оказания господдержки организациям, реализующим проекты в рамках СЗПК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852C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B8693E3" wp14:editId="04E446F5">
                  <wp:extent cx="114300" cy="142875"/>
                  <wp:effectExtent l="0" t="0" r="0" b="0"/>
                  <wp:docPr id="9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852C5" w:rsidRDefault="007852C5" w:rsidP="005611D8">
            <w:pPr>
              <w:pStyle w:val="ConsPlusNormal"/>
            </w:pPr>
            <w:r>
              <w:rPr>
                <w:sz w:val="20"/>
              </w:rPr>
              <w:t>Проект Постановления Правительства РФ "О предоставлении меры государственной поддержки, в соответствии с частью 1 статьи 15 Федерального закона "О защите и поощрении капиталовложений в Российской Федерации", предусматривающей налоговый вычет"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</w:tr>
    </w:tbl>
    <w:p w:rsidR="007852C5" w:rsidRDefault="007852C5" w:rsidP="007852C5">
      <w:pPr>
        <w:pStyle w:val="ConsPlusNormal"/>
        <w:spacing w:before="240"/>
        <w:jc w:val="both"/>
      </w:pPr>
      <w:r>
        <w:t xml:space="preserve">Согласно </w:t>
      </w:r>
      <w:proofErr w:type="gramStart"/>
      <w:r>
        <w:t>проекту</w:t>
      </w:r>
      <w:proofErr w:type="gramEnd"/>
      <w:r>
        <w:t xml:space="preserve"> получателями налогового вычета могут являться организации, реализующие проект, заключившие федеральное соглашение о защите и поощрении капиталовложений.</w:t>
      </w:r>
    </w:p>
    <w:p w:rsidR="007852C5" w:rsidRDefault="007852C5" w:rsidP="007852C5">
      <w:pPr>
        <w:pStyle w:val="ConsPlusNormal"/>
        <w:spacing w:before="240"/>
        <w:jc w:val="both"/>
      </w:pPr>
      <w:r>
        <w:t>Налоговый вычет не применяется: в случае, если затраты уже возмещены организации (взаимозависимым лицам) за счет бюджетных средств; если проект реализуется в сфере цифровой экономики и по нему предоставляются меры господдержки в соответствии с НП "Цифровая экономика Российской Федерации"; в случае если проект реализуется в сфере добычи руд цветных металлов (золота), объем капитальных вложений в который составляет не менее 300 млрд рублей, и организация, реализующая проект, включена в реестр участников региональных инвестиционных проектов.</w:t>
      </w:r>
    </w:p>
    <w:p w:rsidR="007852C5" w:rsidRDefault="007852C5" w:rsidP="007852C5">
      <w:pPr>
        <w:pStyle w:val="ConsPlusNormal"/>
        <w:spacing w:before="240"/>
        <w:jc w:val="both"/>
      </w:pPr>
      <w:r>
        <w:t>Проектом определен перечень условий предоставления налогового вычета, установлен порядок определения размера налогового вычета, а также порядок его применения, в том числе предусмотрен перечень необходимых для этого документов.</w:t>
      </w:r>
    </w:p>
    <w:p w:rsidR="007852C5" w:rsidRDefault="007852C5" w:rsidP="007852C5">
      <w:pPr>
        <w:pStyle w:val="ConsPlusNormal"/>
        <w:spacing w:before="240"/>
        <w:jc w:val="both"/>
      </w:pPr>
      <w:r>
        <w:t>Также проект содержит положения, устанавливающие порядок проверки организации, реализующей проект, на соответствие установленным требованиям.</w:t>
      </w:r>
    </w:p>
    <w:p w:rsidR="007852C5" w:rsidRDefault="007852C5" w:rsidP="007852C5">
      <w:pPr>
        <w:pStyle w:val="ConsPlusNormal"/>
        <w:jc w:val="both"/>
      </w:pPr>
    </w:p>
    <w:p w:rsidR="007852C5" w:rsidRDefault="007852C5" w:rsidP="007852C5">
      <w:pPr>
        <w:pStyle w:val="ConsPlusNormal"/>
        <w:jc w:val="both"/>
      </w:pPr>
      <w:r>
        <w:rPr>
          <w:b/>
        </w:rPr>
        <w:lastRenderedPageBreak/>
        <w:t>Утверждена методика для оценки эффективности налогового расхода РФ, связанного с освобождением от НДФЛ доходов в виде единовременных денежных поощрений, получаемых в связи с награждением орденом "Родительская слава" или присвоением звания "Мать-героиня"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852C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482D02A" wp14:editId="6978A6B5">
                  <wp:extent cx="114300" cy="142875"/>
                  <wp:effectExtent l="0" t="0" r="0" b="0"/>
                  <wp:docPr id="9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852C5" w:rsidRDefault="007852C5" w:rsidP="005611D8">
            <w:pPr>
              <w:pStyle w:val="ConsPlusNormal"/>
            </w:pPr>
            <w:r>
              <w:rPr>
                <w:sz w:val="20"/>
              </w:rPr>
              <w:t>Приказ Минтруда России от 06.12.2024 N 672н</w:t>
            </w:r>
            <w:r>
              <w:rPr>
                <w:sz w:val="20"/>
              </w:rPr>
              <w:br/>
              <w:t>"Об утверждении методики оценки эффективности налогового расхода Российской Федерации, связанного с единовременным денежным поощрением, получаемым налогоплательщиками в соответствии с Указом Президента Российской Федерации от 13 мая 2008 г. N 775 "Об учреждении ордена "Родительская слава" и Указом Президента Российской Федерации от 15 августа 2022 г. N 558 "О некоторых вопросах совершенствования государственной наградной системы Российской Федерации"</w:t>
            </w:r>
            <w:r>
              <w:rPr>
                <w:sz w:val="20"/>
              </w:rPr>
              <w:br/>
              <w:t>Зарегистрировано в Минюсте России 25.04.2025 N 81975.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</w:tr>
    </w:tbl>
    <w:p w:rsidR="007852C5" w:rsidRDefault="007852C5" w:rsidP="007852C5">
      <w:pPr>
        <w:pStyle w:val="ConsPlusNormal"/>
        <w:spacing w:before="240"/>
        <w:jc w:val="both"/>
      </w:pPr>
      <w:r>
        <w:t>Оценка эффективности налогового расхода включает оценку целесообразности налогового расхода, а также оценку результативности налогового расхода.</w:t>
      </w:r>
    </w:p>
    <w:p w:rsidR="007852C5" w:rsidRDefault="007852C5" w:rsidP="007852C5">
      <w:pPr>
        <w:pStyle w:val="ConsPlusNormal"/>
        <w:spacing w:before="240"/>
        <w:jc w:val="both"/>
      </w:pPr>
      <w:r>
        <w:t>По итогам оценки эффективности налогового расхода Минтруд формулирует выводы о достижении целевых характеристик налогового расхода, о вкладе налогового расхода в достижение цели, о наличии или об отсутствии более результативных (менее затратных для федерального бюджета) альтернативных механизмов достижения цели.</w:t>
      </w:r>
    </w:p>
    <w:p w:rsidR="007852C5" w:rsidRDefault="007852C5" w:rsidP="007852C5">
      <w:pPr>
        <w:pStyle w:val="ConsPlusNormal"/>
        <w:jc w:val="both"/>
      </w:pPr>
    </w:p>
    <w:p w:rsidR="007852C5" w:rsidRDefault="007852C5" w:rsidP="007852C5">
      <w:pPr>
        <w:pStyle w:val="ConsPlusNormal"/>
        <w:jc w:val="both"/>
      </w:pPr>
      <w:r>
        <w:rPr>
          <w:b/>
        </w:rPr>
        <w:t>На II квартал 2025 года определены коэффициенты-дефляторы к ставке НДПИ при добыче угля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852C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4A06A95" wp14:editId="2925C77F">
                  <wp:extent cx="114300" cy="142875"/>
                  <wp:effectExtent l="0" t="0" r="0" b="0"/>
                  <wp:docPr id="9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852C5" w:rsidRDefault="007852C5" w:rsidP="005611D8">
            <w:pPr>
              <w:pStyle w:val="ConsPlusNormal"/>
            </w:pPr>
            <w:r>
              <w:rPr>
                <w:sz w:val="20"/>
              </w:rPr>
              <w:t>Приказ Минэкономразвития России от 23.04.2025 N 264</w:t>
            </w:r>
            <w:r>
              <w:rPr>
                <w:sz w:val="20"/>
              </w:rPr>
              <w:br/>
              <w:t>"О коэффициентах-дефляторах к ставке налога на добычу полезных ископаемых при добыче угля"</w:t>
            </w:r>
            <w:r>
              <w:rPr>
                <w:sz w:val="20"/>
              </w:rPr>
              <w:br/>
              <w:t>Зарегистрировано в Минюсте России 29.04.2025 N 82000.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</w:tr>
    </w:tbl>
    <w:p w:rsidR="007852C5" w:rsidRDefault="007852C5" w:rsidP="007852C5">
      <w:pPr>
        <w:pStyle w:val="ConsPlusNormal"/>
        <w:spacing w:before="240"/>
        <w:jc w:val="both"/>
      </w:pPr>
      <w:r>
        <w:t>Коэффициенты-дефляторы определены в следующих размерах:</w:t>
      </w:r>
    </w:p>
    <w:p w:rsidR="007852C5" w:rsidRDefault="007852C5" w:rsidP="007852C5">
      <w:pPr>
        <w:pStyle w:val="ConsPlusNormal"/>
        <w:spacing w:before="240"/>
        <w:jc w:val="both"/>
      </w:pPr>
      <w:r>
        <w:t>на антрацит - 1,070;</w:t>
      </w:r>
    </w:p>
    <w:p w:rsidR="007852C5" w:rsidRDefault="007852C5" w:rsidP="007852C5">
      <w:pPr>
        <w:pStyle w:val="ConsPlusNormal"/>
        <w:spacing w:before="240"/>
        <w:jc w:val="both"/>
      </w:pPr>
      <w:r>
        <w:t>на уголь бурый - 1,107;</w:t>
      </w:r>
    </w:p>
    <w:p w:rsidR="007852C5" w:rsidRDefault="007852C5" w:rsidP="007852C5">
      <w:pPr>
        <w:pStyle w:val="ConsPlusNormal"/>
        <w:spacing w:before="240"/>
        <w:jc w:val="both"/>
      </w:pPr>
      <w:r>
        <w:t>на уголь, за исключением антрацита, угля коксующегося и угля бурого, - 1,025.</w:t>
      </w:r>
    </w:p>
    <w:p w:rsidR="007852C5" w:rsidRDefault="007852C5" w:rsidP="007852C5">
      <w:pPr>
        <w:pStyle w:val="ConsPlusNormal"/>
        <w:jc w:val="both"/>
      </w:pPr>
    </w:p>
    <w:p w:rsidR="007852C5" w:rsidRDefault="007852C5" w:rsidP="007852C5">
      <w:pPr>
        <w:pStyle w:val="ConsPlusNormal"/>
        <w:jc w:val="both"/>
      </w:pPr>
      <w:r>
        <w:rPr>
          <w:b/>
        </w:rPr>
        <w:t xml:space="preserve">Минфин сообщает о разработке проекта закона, включающего меры </w:t>
      </w:r>
      <w:proofErr w:type="spellStart"/>
      <w:r>
        <w:rPr>
          <w:b/>
        </w:rPr>
        <w:t>донастройки</w:t>
      </w:r>
      <w:proofErr w:type="spellEnd"/>
      <w:r>
        <w:rPr>
          <w:b/>
        </w:rPr>
        <w:t xml:space="preserve"> налоговой политики в части налогового администрирования, совершенствования института налогового мониторинга, а также эффективности налогообложения отдельными налогами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852C5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9632629" wp14:editId="5BBBB042">
                  <wp:extent cx="114300" cy="142875"/>
                  <wp:effectExtent l="0" t="0" r="0" b="0"/>
                  <wp:docPr id="9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852C5" w:rsidRDefault="007852C5" w:rsidP="005611D8">
            <w:pPr>
              <w:pStyle w:val="ConsPlusNormal"/>
            </w:pPr>
            <w:r>
              <w:rPr>
                <w:sz w:val="20"/>
              </w:rPr>
              <w:t>&lt;</w:t>
            </w:r>
            <w:hyperlink r:id="rId5">
              <w:r>
                <w:rPr>
                  <w:color w:val="0000FF"/>
                  <w:sz w:val="20"/>
                </w:rPr>
                <w:t>Информация</w:t>
              </w:r>
            </w:hyperlink>
            <w:r>
              <w:rPr>
                <w:sz w:val="20"/>
              </w:rPr>
              <w:t>&gt; Минфина России от 29.04.2025 "Минфин России подготовил законопроект для реализации положений основных направлений налоговой политики"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C5" w:rsidRDefault="007852C5" w:rsidP="005611D8">
            <w:pPr>
              <w:pStyle w:val="ConsPlusNormal"/>
            </w:pPr>
          </w:p>
        </w:tc>
      </w:tr>
    </w:tbl>
    <w:p w:rsidR="007852C5" w:rsidRDefault="007852C5" w:rsidP="007852C5">
      <w:pPr>
        <w:pStyle w:val="ConsPlusNormal"/>
        <w:spacing w:before="240"/>
        <w:jc w:val="both"/>
      </w:pPr>
      <w:r>
        <w:t>В информации приведен перечень основных новаций, содержащихся в проекте. Приведем лишь некоторые из них.</w:t>
      </w:r>
    </w:p>
    <w:p w:rsidR="007852C5" w:rsidRDefault="007852C5" w:rsidP="007852C5">
      <w:pPr>
        <w:pStyle w:val="ConsPlusNormal"/>
        <w:spacing w:before="240"/>
        <w:jc w:val="both"/>
      </w:pPr>
      <w:r>
        <w:t xml:space="preserve">Это, в частности, совершенствование института единого налогового счета (ЕНС); расширение сферы применения отсрочек и рассрочек; расширение периметра налогового мониторинга за счет отмены обязательного соответствия кандидата установленным критериям; исключение неопределенности в вопросе применения НДС при предоставлении иностранным лицам инфраструктуры для </w:t>
      </w:r>
      <w:proofErr w:type="spellStart"/>
      <w:r>
        <w:t>майнинга</w:t>
      </w:r>
      <w:proofErr w:type="spellEnd"/>
      <w:r>
        <w:t xml:space="preserve"> цифровой валюты; совершенствование условий применения стандартного налогового вычета по НДФЛ на детей; продление до 2030 года действия нормы, ограничивающей уменьшение налоговой базы по налогу на </w:t>
      </w:r>
      <w:r>
        <w:lastRenderedPageBreak/>
        <w:t>прибыль текущего периода на сумму убытков предыдущих налоговых периодов; расширение круга лиц для применения федерального инвестиционного налогового вычета.</w:t>
      </w:r>
    </w:p>
    <w:p w:rsidR="007852C5" w:rsidRDefault="007852C5" w:rsidP="007852C5">
      <w:pPr>
        <w:pStyle w:val="ConsPlusNormal"/>
        <w:spacing w:before="240"/>
        <w:jc w:val="both"/>
      </w:pPr>
      <w:r>
        <w:t>Часть предусмотренных проектом изменений направлена на предоставление мер поддержки участникам СВО и членам их семей.</w:t>
      </w:r>
    </w:p>
    <w:p w:rsidR="007852C5" w:rsidRDefault="007852C5" w:rsidP="007852C5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2D"/>
    <w:rsid w:val="00653E2D"/>
    <w:rsid w:val="007852C5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B9C6-2688-412F-B462-78964691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2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site20/202504/29/minfin_290425-nalogpolitik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>diakov.net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2025-06-27T11:12:00Z</dcterms:created>
  <dcterms:modified xsi:type="dcterms:W3CDTF">2025-06-27T11:12:00Z</dcterms:modified>
</cp:coreProperties>
</file>