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41" w:rsidRDefault="00F60341" w:rsidP="00F60341">
      <w:pPr>
        <w:pStyle w:val="ConsPlusNormal"/>
        <w:jc w:val="both"/>
        <w:outlineLvl w:val="1"/>
      </w:pPr>
      <w:r>
        <w:rPr>
          <w:b/>
        </w:rPr>
        <w:t>ГРАЖДАНСКОЕ ПРАВО</w:t>
      </w:r>
    </w:p>
    <w:p w:rsidR="00F60341" w:rsidRDefault="00F60341" w:rsidP="00F60341">
      <w:pPr>
        <w:pStyle w:val="ConsPlusNormal"/>
        <w:spacing w:before="240"/>
        <w:jc w:val="both"/>
      </w:pPr>
      <w:r>
        <w:rPr>
          <w:b/>
        </w:rPr>
        <w:t>Переизданы критерии регулярности и равномерности реализации товара на бирже для отдельных товарных рынков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F60341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341" w:rsidRDefault="00F60341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60341" w:rsidRDefault="00F60341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62507BAA" wp14:editId="44A51E18">
                  <wp:extent cx="114300" cy="142875"/>
                  <wp:effectExtent l="0" t="0" r="0" b="0"/>
                  <wp:docPr id="9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60341" w:rsidRDefault="00F60341" w:rsidP="005611D8">
            <w:pPr>
              <w:pStyle w:val="ConsPlusNormal"/>
            </w:pPr>
            <w:r>
              <w:rPr>
                <w:sz w:val="20"/>
              </w:rPr>
              <w:t>Постановление Правительства РФ от 26.04.2025 N 560</w:t>
            </w:r>
            <w:r>
              <w:rPr>
                <w:sz w:val="20"/>
              </w:rPr>
              <w:br/>
              <w:t>"Об утверждении критериев регулярности и равномерности реализации товара на бирже для отдельных товарных рынков"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341" w:rsidRDefault="00F60341" w:rsidP="005611D8">
            <w:pPr>
              <w:pStyle w:val="ConsPlusNormal"/>
            </w:pPr>
          </w:p>
        </w:tc>
      </w:tr>
    </w:tbl>
    <w:p w:rsidR="00F60341" w:rsidRDefault="00F60341" w:rsidP="00F60341">
      <w:pPr>
        <w:pStyle w:val="ConsPlusNormal"/>
        <w:spacing w:before="240"/>
        <w:jc w:val="both"/>
      </w:pPr>
      <w:r>
        <w:t>Новым постановлением сохранены действующие критерии, установленные постановлением Правительства РФ от 11 октября 2012 г. N 1035, и не предусмотрено введение новых обязательных требований.</w:t>
      </w:r>
    </w:p>
    <w:p w:rsidR="00F60341" w:rsidRDefault="00F60341" w:rsidP="00F60341">
      <w:pPr>
        <w:pStyle w:val="ConsPlusNormal"/>
        <w:spacing w:before="240"/>
        <w:jc w:val="both"/>
      </w:pPr>
      <w:r>
        <w:t>Поскольку постановление N 1035 действует до 1 сентября 2025 года, с указанной даты вступит в силу настоящее постановление.</w:t>
      </w:r>
    </w:p>
    <w:p w:rsidR="00F60341" w:rsidRDefault="00F60341" w:rsidP="00F60341">
      <w:pPr>
        <w:pStyle w:val="ConsPlusNormal"/>
        <w:spacing w:before="240"/>
        <w:jc w:val="both"/>
      </w:pPr>
      <w:r>
        <w:t>Соблюдение критериев регулярности и равномерности является одним из условий, при которых цена товара не признается монопольно высокой в случае, если она установлена на бирже.</w:t>
      </w:r>
    </w:p>
    <w:p w:rsidR="00F60341" w:rsidRDefault="00F60341" w:rsidP="00F60341">
      <w:pPr>
        <w:pStyle w:val="ConsPlusNormal"/>
        <w:jc w:val="both"/>
      </w:pPr>
    </w:p>
    <w:p w:rsidR="00F60341" w:rsidRDefault="00F60341" w:rsidP="00F60341">
      <w:pPr>
        <w:pStyle w:val="ConsPlusNormal"/>
        <w:jc w:val="both"/>
      </w:pPr>
      <w:r>
        <w:rPr>
          <w:b/>
        </w:rPr>
        <w:t>С 1 сентября 2025 года подлежат применению новые правила оказания платных ветеринарных услуг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F60341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341" w:rsidRDefault="00F60341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60341" w:rsidRDefault="00F60341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0D8069CB" wp14:editId="126759E1">
                  <wp:extent cx="114300" cy="142875"/>
                  <wp:effectExtent l="0" t="0" r="0" b="0"/>
                  <wp:docPr id="9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60341" w:rsidRDefault="00F60341" w:rsidP="005611D8">
            <w:pPr>
              <w:pStyle w:val="ConsPlusNormal"/>
            </w:pPr>
            <w:r>
              <w:rPr>
                <w:sz w:val="20"/>
              </w:rPr>
              <w:t>Постановление Правительства РФ от 30.04.2025 N 579</w:t>
            </w:r>
            <w:r>
              <w:rPr>
                <w:sz w:val="20"/>
              </w:rPr>
              <w:br/>
              <w:t>"Об утверждении Правил оказания платных ветеринарных услуг"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341" w:rsidRDefault="00F60341" w:rsidP="005611D8">
            <w:pPr>
              <w:pStyle w:val="ConsPlusNormal"/>
            </w:pPr>
          </w:p>
        </w:tc>
      </w:tr>
    </w:tbl>
    <w:p w:rsidR="00F60341" w:rsidRDefault="00F60341" w:rsidP="00F60341">
      <w:pPr>
        <w:pStyle w:val="ConsPlusNormal"/>
        <w:spacing w:before="240"/>
        <w:jc w:val="both"/>
      </w:pPr>
      <w:r>
        <w:t>Предусмотрено, что действие Правил не распространяется на проведение лечебно-профилактических мероприятий при профилактике, диагностике и ликвидации особо опасных болезней животных (птиц) и болезней общих для человека и животных (птиц).</w:t>
      </w:r>
    </w:p>
    <w:p w:rsidR="00F60341" w:rsidRDefault="00F60341" w:rsidP="00F60341">
      <w:pPr>
        <w:pStyle w:val="ConsPlusNormal"/>
        <w:spacing w:before="240"/>
        <w:jc w:val="both"/>
      </w:pPr>
      <w:r>
        <w:t>Новые Правила будут действовать до 1 сентября 2031 года.</w:t>
      </w:r>
    </w:p>
    <w:p w:rsidR="00F60341" w:rsidRDefault="00F60341" w:rsidP="00F60341">
      <w:pPr>
        <w:pStyle w:val="ConsPlusNormal"/>
        <w:spacing w:before="240"/>
        <w:jc w:val="both"/>
      </w:pPr>
      <w:r>
        <w:t>Утратит силу постановление Правительства от 6 августа 1998 г. N 898 "Об утверждении Правил оказания платных ветеринарных услуг".</w:t>
      </w:r>
    </w:p>
    <w:p w:rsidR="00F60341" w:rsidRDefault="00F60341" w:rsidP="00F60341">
      <w:pPr>
        <w:pStyle w:val="ConsPlusNormal"/>
        <w:jc w:val="both"/>
      </w:pPr>
    </w:p>
    <w:p w:rsidR="00F60341" w:rsidRDefault="00F60341" w:rsidP="00F60341">
      <w:pPr>
        <w:pStyle w:val="ConsPlusNormal"/>
        <w:jc w:val="both"/>
      </w:pPr>
      <w:r>
        <w:rPr>
          <w:b/>
        </w:rPr>
        <w:t>Скорректирован перечень документов и сведений, необходимых для свидетельствования уполномоченными ТПП обстоятельств непреодолимой силы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F60341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341" w:rsidRDefault="00F60341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60341" w:rsidRDefault="00F60341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21EFCB01" wp14:editId="074BBD08">
                  <wp:extent cx="114300" cy="142875"/>
                  <wp:effectExtent l="0" t="0" r="0" b="0"/>
                  <wp:docPr id="9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60341" w:rsidRDefault="00F60341" w:rsidP="005611D8">
            <w:pPr>
              <w:pStyle w:val="ConsPlusNormal"/>
            </w:pPr>
            <w:r>
              <w:rPr>
                <w:sz w:val="20"/>
              </w:rPr>
              <w:t>Постановление Совета ТПП РФ от 15.04.2025 N 74-19</w:t>
            </w:r>
            <w:r>
              <w:rPr>
                <w:sz w:val="20"/>
              </w:rPr>
              <w:br/>
              <w:t>"О внесении изменений в Положение о свидетельствовании уполномоченными торгово-промышленными палатами обстоятельств непреодолимой силы по договорам (контрактам), заключенным в рамках внутрироссийской экономической деятельности"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341" w:rsidRDefault="00F60341" w:rsidP="005611D8">
            <w:pPr>
              <w:pStyle w:val="ConsPlusNormal"/>
            </w:pPr>
          </w:p>
        </w:tc>
      </w:tr>
    </w:tbl>
    <w:p w:rsidR="00F60341" w:rsidRDefault="00F60341" w:rsidP="00F60341">
      <w:pPr>
        <w:pStyle w:val="ConsPlusNormal"/>
        <w:spacing w:before="240"/>
        <w:jc w:val="both"/>
      </w:pPr>
      <w:r>
        <w:t>Из перечня документов исключены копия устава юридического лица, а также документ, подтверждающий назначение (избрание) единоличного исполнительного органа заявителя. Также уточнено, что представляемая выписка из ЕГРЮЛ/ЕГРИП (с сайта ФНС России) должна быть актуальная на дату подачи заявления.</w:t>
      </w:r>
    </w:p>
    <w:p w:rsidR="00F60341" w:rsidRDefault="00F60341" w:rsidP="00F60341">
      <w:pPr>
        <w:pStyle w:val="ConsPlusNormal"/>
        <w:jc w:val="both"/>
      </w:pPr>
    </w:p>
    <w:p w:rsidR="00F60341" w:rsidRDefault="00F60341" w:rsidP="00F60341">
      <w:pPr>
        <w:pStyle w:val="ConsPlusNormal"/>
        <w:jc w:val="both"/>
      </w:pPr>
      <w:r>
        <w:rPr>
          <w:b/>
        </w:rPr>
        <w:t>Рассмотрен вопрос о возможности постановки на государственный кадастровый учет земельных участков, границы которых пересекают береговую полосу водного объекта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F60341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341" w:rsidRDefault="00F60341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60341" w:rsidRDefault="00F60341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7F9FA34F" wp14:editId="2A4911E0">
                  <wp:extent cx="114300" cy="142875"/>
                  <wp:effectExtent l="0" t="0" r="0" b="0"/>
                  <wp:docPr id="9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60341" w:rsidRDefault="00F60341" w:rsidP="005611D8">
            <w:pPr>
              <w:pStyle w:val="ConsPlusNormal"/>
            </w:pPr>
            <w:r>
              <w:rPr>
                <w:sz w:val="20"/>
              </w:rPr>
              <w:t xml:space="preserve">&lt;Письмо&gt; </w:t>
            </w:r>
            <w:proofErr w:type="spellStart"/>
            <w:r>
              <w:rPr>
                <w:sz w:val="20"/>
              </w:rPr>
              <w:t>Росреестра</w:t>
            </w:r>
            <w:proofErr w:type="spellEnd"/>
            <w:r>
              <w:rPr>
                <w:sz w:val="20"/>
              </w:rPr>
              <w:t xml:space="preserve"> от 24.03.2025 N 14-2668-ТГ/25</w:t>
            </w:r>
            <w:r>
              <w:rPr>
                <w:sz w:val="20"/>
              </w:rPr>
              <w:br/>
              <w:t>&lt;По вопросу о возможности постановки на государственный кадастровый учет земельных участков, границы которых пересекают береговую полосу водного объекта&gt;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341" w:rsidRDefault="00F60341" w:rsidP="005611D8">
            <w:pPr>
              <w:pStyle w:val="ConsPlusNormal"/>
            </w:pPr>
          </w:p>
        </w:tc>
      </w:tr>
    </w:tbl>
    <w:p w:rsidR="00F60341" w:rsidRDefault="00F60341" w:rsidP="00F60341">
      <w:pPr>
        <w:pStyle w:val="ConsPlusNormal"/>
        <w:spacing w:before="240"/>
        <w:jc w:val="both"/>
      </w:pPr>
      <w:r>
        <w:lastRenderedPageBreak/>
        <w:t>Отмечается, что в Земельном кодексе РФ и Водном кодексе РФ отсутствуют положения, предусматривающие образование земельного участка, полностью или частично расположенного в пределах границ береговой линии поверхностных водных объектов (земель, покрытых поверхностными водами).</w:t>
      </w:r>
    </w:p>
    <w:p w:rsidR="00F60341" w:rsidRDefault="00F60341" w:rsidP="00F60341">
      <w:pPr>
        <w:pStyle w:val="ConsPlusNormal"/>
        <w:spacing w:before="240"/>
        <w:jc w:val="both"/>
      </w:pPr>
      <w:r>
        <w:t>Если земельный участок:</w:t>
      </w:r>
    </w:p>
    <w:p w:rsidR="00F60341" w:rsidRDefault="00F60341" w:rsidP="00F60341">
      <w:pPr>
        <w:pStyle w:val="ConsPlusNormal"/>
        <w:spacing w:before="240"/>
        <w:jc w:val="both"/>
      </w:pPr>
      <w:r>
        <w:t>уже находится в частной собственности (был предоставлен в собственность до вступления в силу действующего Земельного кодекса РФ), то в территорию такого земельного участка не может быть включена поверхность суши, являющаяся береговой полосой; пересечение уточненных границ такого земельного участка с границами береговой полосы будет являться основанием для приостановления осуществления государственного кадастрового учета;</w:t>
      </w:r>
    </w:p>
    <w:p w:rsidR="00F60341" w:rsidRDefault="00F60341" w:rsidP="00F60341">
      <w:pPr>
        <w:pStyle w:val="ConsPlusNormal"/>
        <w:spacing w:before="240"/>
        <w:jc w:val="both"/>
      </w:pPr>
      <w:r>
        <w:t>находится в государственной или муниципальной собственности и предоставлен в аренду или безвозмездное пользование, то основания для приостановления его государственного кадастрового учета отсутствуют.</w:t>
      </w:r>
    </w:p>
    <w:p w:rsidR="00F60341" w:rsidRDefault="00F60341" w:rsidP="00F60341">
      <w:pPr>
        <w:pStyle w:val="ConsPlusNormal"/>
        <w:jc w:val="both"/>
      </w:pPr>
    </w:p>
    <w:p w:rsidR="00F60341" w:rsidRDefault="00F60341" w:rsidP="00F60341">
      <w:pPr>
        <w:pStyle w:val="ConsPlusNormal"/>
        <w:jc w:val="both"/>
      </w:pPr>
      <w:r>
        <w:rPr>
          <w:b/>
        </w:rPr>
        <w:t>Даны разъяснения по вопросу снятия с государственного кадастрового учета объектов недвижимости, являющихся объектами культурного наследия, прекративших свое существование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F60341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341" w:rsidRDefault="00F60341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60341" w:rsidRDefault="00F60341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503F81BC" wp14:editId="2F60EE74">
                  <wp:extent cx="114300" cy="142875"/>
                  <wp:effectExtent l="0" t="0" r="0" b="0"/>
                  <wp:docPr id="9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60341" w:rsidRDefault="00F60341" w:rsidP="005611D8">
            <w:pPr>
              <w:pStyle w:val="ConsPlusNormal"/>
            </w:pPr>
            <w:r>
              <w:rPr>
                <w:sz w:val="20"/>
              </w:rPr>
              <w:t xml:space="preserve">&lt;Письмо&gt; </w:t>
            </w:r>
            <w:proofErr w:type="spellStart"/>
            <w:r>
              <w:rPr>
                <w:sz w:val="20"/>
              </w:rPr>
              <w:t>Росреестра</w:t>
            </w:r>
            <w:proofErr w:type="spellEnd"/>
            <w:r>
              <w:rPr>
                <w:sz w:val="20"/>
              </w:rPr>
              <w:t xml:space="preserve"> от 08.04.2025 N 01-3289-ТГ/25</w:t>
            </w:r>
            <w:r>
              <w:rPr>
                <w:sz w:val="20"/>
              </w:rPr>
              <w:br/>
              <w:t>&lt;По вопросу снятия с государственного кадастрового учета объектов недвижимости, являющихся объектами культурного наследия, прекративших свое существование&gt;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341" w:rsidRDefault="00F60341" w:rsidP="005611D8">
            <w:pPr>
              <w:pStyle w:val="ConsPlusNormal"/>
            </w:pPr>
          </w:p>
        </w:tc>
      </w:tr>
    </w:tbl>
    <w:p w:rsidR="00F60341" w:rsidRDefault="00F60341" w:rsidP="00F60341">
      <w:pPr>
        <w:pStyle w:val="ConsPlusNormal"/>
        <w:spacing w:before="240"/>
        <w:jc w:val="both"/>
      </w:pPr>
      <w:r>
        <w:t>Сообщается, в частности, что при поступлении документов о снятии с кадастрового учета такого объекта недвижимости в случае отсутствия в ЕГРН сведений об исключении объекта культурного наследия из единого государственного реестра объектов культурного наследия (памятников истории и культуры) народов РФ органу регистрации прав надлежит направить запрос в федеральный орган исполнительной власти в области сохранения, использования, популяризации и государственной охраны объектов культурного наследия с целью установления факта исключения данного объекта культурного наследия из указанного реестра.</w:t>
      </w:r>
    </w:p>
    <w:p w:rsidR="00F60341" w:rsidRDefault="00F60341" w:rsidP="00F60341">
      <w:pPr>
        <w:pStyle w:val="ConsPlusNormal"/>
        <w:spacing w:before="240"/>
        <w:jc w:val="both"/>
      </w:pPr>
      <w:r>
        <w:t>В случае если в отношении объекта культурного наследия было принято решение об исключении его из реестра, такой объект может быть снят с государственного кадастрового учета в порядке, предусмотренном положениями статьи 69.1 Федерального закона от 13.07.2015 N 218-ФЗ "О государственной регистрации недвижимости".</w:t>
      </w:r>
    </w:p>
    <w:p w:rsidR="00F60341" w:rsidRDefault="00F60341" w:rsidP="00F60341">
      <w:pPr>
        <w:pStyle w:val="ConsPlusNormal"/>
        <w:jc w:val="both"/>
      </w:pPr>
    </w:p>
    <w:p w:rsidR="00F60341" w:rsidRDefault="00F60341" w:rsidP="00F60341">
      <w:pPr>
        <w:pStyle w:val="ConsPlusNormal"/>
        <w:jc w:val="both"/>
      </w:pPr>
      <w:r>
        <w:rPr>
          <w:b/>
        </w:rPr>
        <w:t>Рассмотрены вопросы о заполнении разделов XML-файла межевого плана и подготовке акта согласования местоположения границ земельного участка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F60341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341" w:rsidRDefault="00F60341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60341" w:rsidRDefault="00F60341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34A893DC" wp14:editId="423D2FD8">
                  <wp:extent cx="114300" cy="142875"/>
                  <wp:effectExtent l="0" t="0" r="0" b="0"/>
                  <wp:docPr id="9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60341" w:rsidRDefault="00F60341" w:rsidP="005611D8">
            <w:pPr>
              <w:pStyle w:val="ConsPlusNormal"/>
            </w:pPr>
            <w:r>
              <w:rPr>
                <w:sz w:val="20"/>
              </w:rPr>
              <w:t xml:space="preserve">&lt;Письмо&gt; </w:t>
            </w:r>
            <w:proofErr w:type="spellStart"/>
            <w:r>
              <w:rPr>
                <w:sz w:val="20"/>
              </w:rPr>
              <w:t>Росреестра</w:t>
            </w:r>
            <w:proofErr w:type="spellEnd"/>
            <w:r>
              <w:rPr>
                <w:sz w:val="20"/>
              </w:rPr>
              <w:t xml:space="preserve"> от 22.04.2025 N 13-00621/25</w:t>
            </w:r>
            <w:r>
              <w:rPr>
                <w:sz w:val="20"/>
              </w:rPr>
              <w:br/>
              <w:t>"О видах разрешенного использования земельных участков"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341" w:rsidRDefault="00F60341" w:rsidP="005611D8">
            <w:pPr>
              <w:pStyle w:val="ConsPlusNormal"/>
            </w:pPr>
          </w:p>
        </w:tc>
      </w:tr>
    </w:tbl>
    <w:p w:rsidR="00F60341" w:rsidRDefault="00F60341" w:rsidP="00F60341">
      <w:pPr>
        <w:pStyle w:val="ConsPlusNormal"/>
        <w:spacing w:before="240"/>
        <w:jc w:val="both"/>
      </w:pPr>
      <w:r>
        <w:t>Даны ответы на следующие вопросы, в том числе: какую площадь земельного участка указывать в межевом плане; необходимо ли проводить процедуру согласования местоположения границ земельного участка и подготавливать акт согласования местоположения границ; кто согласовывает границу объекта кадастровых работ (в случае необходимости подготовки акта согласования).</w:t>
      </w: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8E"/>
    <w:rsid w:val="0060708E"/>
    <w:rsid w:val="00C52FAD"/>
    <w:rsid w:val="00F6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1E106-89B8-4CDA-943B-57D672A2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34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4529</Characters>
  <Application>Microsoft Office Word</Application>
  <DocSecurity>0</DocSecurity>
  <Lines>37</Lines>
  <Paragraphs>10</Paragraphs>
  <ScaleCrop>false</ScaleCrop>
  <Company>diakov.net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2025-06-27T11:10:00Z</dcterms:created>
  <dcterms:modified xsi:type="dcterms:W3CDTF">2025-06-27T11:10:00Z</dcterms:modified>
</cp:coreProperties>
</file>