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04" w:rsidRDefault="00870204" w:rsidP="00870204">
      <w:pPr>
        <w:pStyle w:val="ConsPlusNormal"/>
        <w:jc w:val="both"/>
        <w:outlineLvl w:val="1"/>
      </w:pPr>
      <w:r>
        <w:rPr>
          <w:b/>
        </w:rPr>
        <w:t>ФИНАНСЫ. БЮДЖЕТ</w:t>
      </w:r>
    </w:p>
    <w:p w:rsidR="00870204" w:rsidRDefault="00870204" w:rsidP="00870204">
      <w:pPr>
        <w:pStyle w:val="ConsPlusNormal"/>
        <w:spacing w:before="240"/>
        <w:jc w:val="both"/>
      </w:pPr>
      <w:r>
        <w:rPr>
          <w:b/>
        </w:rPr>
        <w:t>Уточнен порядок предоставления субсидий на поддержку приоритетных направлений агропромышленного комплекса и развитие малых форм хозяйствования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E405240" wp14:editId="64A03C83">
                  <wp:extent cx="114300" cy="142875"/>
                  <wp:effectExtent l="0" t="0" r="0" b="0"/>
                  <wp:docPr id="8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578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14 июля 2012 г. N 717"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Установлено, в частности, что в субъекте РФ, в котором введен средний уровень реагирования, срок использования гранта на развитие семейной фермы, гранта на развитие материально-технической базы, гранта "</w:t>
      </w:r>
      <w:proofErr w:type="spellStart"/>
      <w:r>
        <w:t>Агропрогресс</w:t>
      </w:r>
      <w:proofErr w:type="spellEnd"/>
      <w:r>
        <w:t>" составляет не более 30 месяцев со дня получения средств. Повторное получение такого гранта возможно не ранее чем через 36 месяцев с даты получения предыдущего гранта. При этом получатель повторного гранта обязан обеспечить сохранение количества постоянных рабочих мест и прирост производства продукции не менее 5 лет по проекту, на который ранее были получены средства гранта.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t>Внесены уточнения в порядок предоставления субсидий на господдержку малого и среднего предпринимательства в субъектах РФ в рамках госпрограммы "Экономическое развитие и инновационная экономика"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23E5091" wp14:editId="5BA5C8DB">
                  <wp:extent cx="114300" cy="142875"/>
                  <wp:effectExtent l="0" t="0" r="0" b="0"/>
                  <wp:docPr id="8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587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15 апреля 2014 г. N 316"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Постановлением для целей предоставления субсидий скорректированы некоторые используемые понятия, такие как, например, "бизнес-парк", "резидент (потенциальный резидент)", "технопарк".</w:t>
      </w:r>
    </w:p>
    <w:p w:rsidR="00870204" w:rsidRDefault="00870204" w:rsidP="00870204">
      <w:pPr>
        <w:pStyle w:val="ConsPlusNormal"/>
        <w:spacing w:before="240"/>
        <w:jc w:val="both"/>
      </w:pPr>
      <w:r>
        <w:t>Введены положения, устанавливающие требования к документальному подтверждению обеспеченности территории индустриального (промышленного) парка, агропромышленного парка, бизнес-парка, технопарка или промышленного технопарка доступностью к транспортной инфраструктуре.</w:t>
      </w:r>
    </w:p>
    <w:p w:rsidR="00870204" w:rsidRDefault="00870204" w:rsidP="00870204">
      <w:pPr>
        <w:pStyle w:val="ConsPlusNormal"/>
        <w:spacing w:before="240"/>
        <w:jc w:val="both"/>
      </w:pPr>
      <w:r>
        <w:t xml:space="preserve">Также внесены уточнения в перечень документов, необходимых для получения субсидии, предоставляемой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РФ, возникающих при реализации мероприятия, указанного в подпункте "а" пункта 3 Правил.</w:t>
      </w:r>
    </w:p>
    <w:p w:rsidR="00870204" w:rsidRDefault="00870204" w:rsidP="00870204">
      <w:pPr>
        <w:pStyle w:val="ConsPlusNormal"/>
        <w:spacing w:before="240"/>
        <w:jc w:val="both"/>
      </w:pPr>
      <w:r>
        <w:t>В новой редакции изложена форма заявки на получение субсидии.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t>Установлен порядок проведения Минфином России оценки объема бюджетных ассигнований федерального бюджета, предоставляемых на цели реализации инвестиционных проектов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2174EE8" wp14:editId="533AC97C">
                  <wp:extent cx="114300" cy="142875"/>
                  <wp:effectExtent l="0" t="0" r="0" b="0"/>
                  <wp:docPr id="8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591</w:t>
            </w:r>
            <w:r>
              <w:rPr>
                <w:sz w:val="20"/>
              </w:rPr>
              <w:br/>
              <w:t>"Об утверждении Правил проведения оценки объема бюджетных ассигнований федерального бюджета, предоставляемых на цели реализации инвестиционных проектов, для целей обеспечения мониторинга бюджетных обязательств, принимаемых в рамках реализации инвестиционных проектов"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 xml:space="preserve">Основными задачами оценки являются: определение общего объема бюджетных ассигнований федерального бюджета, предоставляемых инвестору на цели реализации инвестиционного проекта, включая предоставление инвестору мер государственной </w:t>
      </w:r>
      <w:r>
        <w:lastRenderedPageBreak/>
        <w:t>поддержки; анализ использования бюджетных ассигнований федерального бюджета посредством расчета коэффициента оценки.</w:t>
      </w:r>
    </w:p>
    <w:p w:rsidR="00870204" w:rsidRDefault="00870204" w:rsidP="00870204">
      <w:pPr>
        <w:pStyle w:val="ConsPlusNormal"/>
        <w:spacing w:before="240"/>
        <w:jc w:val="both"/>
      </w:pPr>
      <w:r>
        <w:t>Предметом оценки являются финансово-экономические параметры инвестиционного проекта, сведения о которых представлены федеральным органом исполнительной власти.</w:t>
      </w:r>
    </w:p>
    <w:p w:rsidR="00870204" w:rsidRDefault="00870204" w:rsidP="00870204">
      <w:pPr>
        <w:pStyle w:val="ConsPlusNormal"/>
        <w:spacing w:before="240"/>
        <w:jc w:val="both"/>
      </w:pPr>
      <w:r>
        <w:t>Итоги проведения оценки ежегодно обобщаются в аналитический отчет по форме, утверждаемой Минфином России.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t>Минфин России изложил позицию по вопросу о приеме ломбардом от граждан в качестве обеспечения займа ювелирных и других изделий из драгоценных металлов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1508487" wp14:editId="58F8D76E">
                  <wp:extent cx="114300" cy="142875"/>
                  <wp:effectExtent l="0" t="0" r="0" b="0"/>
                  <wp:docPr id="8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&lt;Письмо&gt; Минфина России от 18.04.2025 N 22-01-10/39054</w:t>
            </w:r>
            <w:r>
              <w:rPr>
                <w:sz w:val="20"/>
              </w:rPr>
              <w:br/>
              <w:t>&lt;О приеме ломбардом от граждан в качестве обеспечения займа ювелирных и других изделий из драгоценных металлов&gt;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Сообщается, что ювелирные и другие изделия из драгоценных металлов в случае их приема ломбардом от граждан в качестве обеспечения займа должны соответствовать требованиям законодательства РФ о драгоценных металлах и драгоценных камнях, в том числе иметь оттиски государственных пробирных клейм.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t>Разъяснены особенности приема ювелирных изделий ломбардом от граждан в качестве обеспечения займа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D6D6D21" wp14:editId="4A00607B">
                  <wp:extent cx="114300" cy="142875"/>
                  <wp:effectExtent l="0" t="0" r="0" b="0"/>
                  <wp:docPr id="8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&lt;Письмо&gt; Федеральной пробирной палаты от 18.04.2025 N 56-04/25/2790</w:t>
            </w:r>
            <w:r>
              <w:rPr>
                <w:sz w:val="20"/>
              </w:rPr>
              <w:br/>
              <w:t>&lt;О приеме ювелирных изделий ломбардом от граждан в качестве обеспечения займа&gt;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Отмечено, что ювелирные и другие изделия из драгоценных металлов в случае их приема ломбардом от граждан в качестве обеспечения займа должны соответствовать требованиям законодательства РФ о драгоценных металлах и драгоценных камнях, в том числе иметь оттиски государственных пробирных клейм.</w:t>
      </w:r>
    </w:p>
    <w:p w:rsidR="00870204" w:rsidRDefault="00870204" w:rsidP="00870204">
      <w:pPr>
        <w:pStyle w:val="ConsPlusNormal"/>
        <w:spacing w:before="240"/>
        <w:jc w:val="both"/>
      </w:pPr>
      <w:r>
        <w:t>Ломбард должен обеспечить маркировку ювелирных изделий, принятых от граждан (физических лиц), предназначенных для реализации в соответствии с законодательством РФ, до предложения этих изделий для продажи.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t>Казначейство сообщает о проведении с 1 июля 2025 года автоматического контроля в компоненте казначейского сопровождения подсистемы управления расходами ГИИС "Электронный бюджет"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B823231" wp14:editId="1CCC3DAC">
                  <wp:extent cx="114300" cy="142875"/>
                  <wp:effectExtent l="0" t="0" r="0" b="0"/>
                  <wp:docPr id="8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&lt;Письмо&gt; Казначейства России от 30.04.2025 N 07-04-05/04-12332</w:t>
            </w:r>
            <w:r>
              <w:rPr>
                <w:sz w:val="20"/>
              </w:rPr>
              <w:br/>
              <w:t>"Об актуализации данных в ПУР КС ГИИС "Электронный бюджет"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В ГИИС "Электронный бюджет" будет реализован автоматический контроль на наличие в распоряжениях о совершении казначейских платежей аналитического кода, используемого в целях идентификации операций, связанных с реализацией инфраструктурных проектов, а также его соответствие аналитическому коду бюджетного кредита, указанному в документе, обосновывающем обязательство.</w:t>
      </w:r>
    </w:p>
    <w:p w:rsidR="00870204" w:rsidRDefault="00870204" w:rsidP="00870204">
      <w:pPr>
        <w:pStyle w:val="ConsPlusNormal"/>
        <w:spacing w:before="240"/>
        <w:jc w:val="both"/>
      </w:pPr>
      <w:r>
        <w:t>В этой связи поручено довести информацию до участников казначейского сопровождения о необходимости актуализации записей в электронных формулярах "Карточка контракта" и "Документ-основание" в части указания аналитического кода бюджетного кредита.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  <w:r>
        <w:rPr>
          <w:b/>
        </w:rPr>
        <w:lastRenderedPageBreak/>
        <w:t>Разработан базовый стандарт защиты прав и интересов получателей финансовых услуг, оказываемых членами СРО в сфере финансового рынка, объединяющих брокеров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7020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266A7FB" wp14:editId="17472061">
                  <wp:extent cx="114300" cy="142875"/>
                  <wp:effectExtent l="0" t="0" r="0" b="0"/>
                  <wp:docPr id="8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70204" w:rsidRDefault="00870204" w:rsidP="005611D8">
            <w:pPr>
              <w:pStyle w:val="ConsPlusNormal"/>
            </w:pPr>
            <w:r>
              <w:rPr>
                <w:sz w:val="20"/>
              </w:rPr>
              <w:t>"Базовый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брокеров"</w:t>
            </w:r>
            <w:r>
              <w:rPr>
                <w:sz w:val="20"/>
              </w:rPr>
              <w:br/>
              <w:t>(утв. Банком России 30.04.2025 N КФНП-14)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204" w:rsidRDefault="00870204" w:rsidP="005611D8">
            <w:pPr>
              <w:pStyle w:val="ConsPlusNormal"/>
            </w:pPr>
          </w:p>
        </w:tc>
      </w:tr>
    </w:tbl>
    <w:p w:rsidR="00870204" w:rsidRDefault="00870204" w:rsidP="00870204">
      <w:pPr>
        <w:pStyle w:val="ConsPlusNormal"/>
        <w:spacing w:before="240"/>
        <w:jc w:val="both"/>
      </w:pPr>
      <w:r>
        <w:t>Стандарт определяет основные принципы в области защиты прав и интересов получателей финансовых услуг и устанавливает требования, которыми брокер должен руководствоваться в процессе осуществления своей деятельности.</w:t>
      </w:r>
    </w:p>
    <w:p w:rsidR="00870204" w:rsidRDefault="00870204" w:rsidP="00870204">
      <w:pPr>
        <w:pStyle w:val="ConsPlusNormal"/>
        <w:spacing w:before="240"/>
        <w:jc w:val="both"/>
      </w:pPr>
      <w:r>
        <w:t>Стандарт применяется по истечении шести месяцев со дня его опубликования, за исключением отдельных положений, для которых установлены иные сроки начала их применения.</w:t>
      </w: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</w:p>
    <w:p w:rsidR="00870204" w:rsidRDefault="00870204" w:rsidP="00870204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39"/>
    <w:rsid w:val="00870204"/>
    <w:rsid w:val="00B12739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6068-74B6-4D3F-B229-DF6691D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0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5273</Characters>
  <Application>Microsoft Office Word</Application>
  <DocSecurity>0</DocSecurity>
  <Lines>43</Lines>
  <Paragraphs>12</Paragraphs>
  <ScaleCrop>false</ScaleCrop>
  <Company>diakov.net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2025-06-27T11:04:00Z</dcterms:created>
  <dcterms:modified xsi:type="dcterms:W3CDTF">2025-06-27T11:04:00Z</dcterms:modified>
</cp:coreProperties>
</file>