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50" w:rsidRDefault="00E67550" w:rsidP="00E67550">
      <w:pPr>
        <w:pStyle w:val="ConsPlusNormal"/>
        <w:jc w:val="both"/>
        <w:outlineLvl w:val="1"/>
      </w:pPr>
      <w:r>
        <w:rPr>
          <w:b/>
        </w:rPr>
        <w:t>ЖИЛИЩЕ. ЖКХ</w:t>
      </w:r>
    </w:p>
    <w:p w:rsidR="00E67550" w:rsidRDefault="00E67550" w:rsidP="00E67550">
      <w:pPr>
        <w:pStyle w:val="ConsPlusNormal"/>
        <w:spacing w:before="240"/>
        <w:jc w:val="both"/>
      </w:pPr>
      <w:r>
        <w:rPr>
          <w:b/>
        </w:rPr>
        <w:t>Рассмотрен вопрос об оплате горячей воды, поставляемой в нежилые здания посредством закрытой системы горячего водоснабжения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67550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E16F985" wp14:editId="326F4FAA">
                  <wp:extent cx="114300" cy="142875"/>
                  <wp:effectExtent l="0" t="0" r="0" b="0"/>
                  <wp:docPr id="8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67550" w:rsidRDefault="00E67550" w:rsidP="005611D8">
            <w:pPr>
              <w:pStyle w:val="ConsPlusNormal"/>
            </w:pPr>
            <w:r>
              <w:rPr>
                <w:sz w:val="20"/>
              </w:rPr>
              <w:t>&lt;Письмо&gt; Минстроя России от 11.03.2025 N 13647-АЕ/04</w:t>
            </w:r>
            <w:r>
              <w:rPr>
                <w:sz w:val="20"/>
              </w:rPr>
              <w:br/>
              <w:t>&lt;Об оплате фактически потребленных объемов горячей воды и тепловой энергии&gt;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</w:tr>
    </w:tbl>
    <w:p w:rsidR="00E67550" w:rsidRDefault="00E67550" w:rsidP="00E67550">
      <w:pPr>
        <w:pStyle w:val="ConsPlusNormal"/>
        <w:spacing w:before="240"/>
        <w:jc w:val="both"/>
      </w:pPr>
      <w:r>
        <w:t>Отмечается, что при наличии средств измерений (приборов учета), учитывающих объем потребленной в нежилом здании горячей воды и объем тепловой энергии в составе горячей воды, собственник нежилого здания обязан оплачивать фактически потребленные объемы горячей воды и тепловой энергии в составе горячей воды, определенные по показаниям таких средств измерений (приборов учета).</w:t>
      </w:r>
    </w:p>
    <w:p w:rsidR="00E67550" w:rsidRDefault="00E67550" w:rsidP="00E67550">
      <w:pPr>
        <w:pStyle w:val="ConsPlusNormal"/>
        <w:jc w:val="both"/>
      </w:pPr>
    </w:p>
    <w:p w:rsidR="00E67550" w:rsidRDefault="00E67550" w:rsidP="00E67550">
      <w:pPr>
        <w:pStyle w:val="ConsPlusNormal"/>
        <w:jc w:val="both"/>
      </w:pPr>
      <w:r>
        <w:rPr>
          <w:b/>
        </w:rPr>
        <w:t>Минстрой России рассмотрел вопрос о расчетах за жилищно-коммунальные услуги через Единые расчетные центры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67550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34FF942" wp14:editId="5E1A4446">
                  <wp:extent cx="114300" cy="142875"/>
                  <wp:effectExtent l="0" t="0" r="0" b="0"/>
                  <wp:docPr id="8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67550" w:rsidRDefault="00E67550" w:rsidP="005611D8">
            <w:pPr>
              <w:pStyle w:val="ConsPlusNormal"/>
            </w:pPr>
            <w:r>
              <w:rPr>
                <w:sz w:val="20"/>
              </w:rPr>
              <w:t>&lt;Письмо&gt; Минстроя России от 22.04.2025 N 23596-АФ/04</w:t>
            </w:r>
            <w:r>
              <w:rPr>
                <w:sz w:val="20"/>
              </w:rPr>
              <w:br/>
              <w:t>&lt;Об осуществлении расчетов за жилищно-коммунальные услуги посредством Единых расчетных центров&gt;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</w:tr>
    </w:tbl>
    <w:p w:rsidR="00E67550" w:rsidRDefault="00E67550" w:rsidP="00E67550">
      <w:pPr>
        <w:pStyle w:val="ConsPlusNormal"/>
        <w:spacing w:before="240"/>
        <w:jc w:val="both"/>
      </w:pPr>
      <w:r>
        <w:t>Сообщается, что создание Единых расчетных центров (далее - ЕРЦ) направлено на обеспечение эффективного взаимодействия с потребителями коммунальных услуг путем централизации расчетов и сокращения количества выставляемых платежных документов, а также формирование удобной для потребителей жилищно-коммунальных услуг системы комплексного обслуживания.</w:t>
      </w:r>
    </w:p>
    <w:p w:rsidR="00E67550" w:rsidRDefault="00E67550" w:rsidP="00E67550">
      <w:pPr>
        <w:pStyle w:val="ConsPlusNormal"/>
        <w:spacing w:before="240"/>
        <w:jc w:val="both"/>
      </w:pPr>
      <w:r>
        <w:t>Также отмечается, что положения постановления Правительства РФ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не устанавливают обязательности расчетов за жилищно-коммунальные услуги исключительно посредством ЕРЦ.</w:t>
      </w:r>
    </w:p>
    <w:p w:rsidR="00E67550" w:rsidRDefault="00E67550" w:rsidP="00E67550">
      <w:pPr>
        <w:pStyle w:val="ConsPlusNormal"/>
        <w:jc w:val="both"/>
      </w:pPr>
    </w:p>
    <w:p w:rsidR="00E67550" w:rsidRDefault="00E67550" w:rsidP="00E67550">
      <w:pPr>
        <w:pStyle w:val="ConsPlusNormal"/>
        <w:jc w:val="both"/>
      </w:pPr>
      <w:r>
        <w:rPr>
          <w:b/>
        </w:rPr>
        <w:t>Уполномоченный орган субъекта РФ имеет право установить на едином уровне норматив расхода тепловой энергии на подогрев воды в целях предоставления коммунальной услуги по горячему водоснабжению с использованием закрытой системы водоснабжения при установлении однокомпонентного тарифа на горячую воду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67550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0BA0F77" wp14:editId="6CF0207E">
                  <wp:extent cx="114300" cy="142875"/>
                  <wp:effectExtent l="0" t="0" r="0" b="0"/>
                  <wp:docPr id="8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67550" w:rsidRDefault="00E67550" w:rsidP="005611D8">
            <w:pPr>
              <w:pStyle w:val="ConsPlusNormal"/>
            </w:pPr>
            <w:r>
              <w:rPr>
                <w:sz w:val="20"/>
              </w:rPr>
              <w:t>&lt;Письмо&gt; Минстроя России от 24.04.2025 N 24181-АФ/04</w:t>
            </w:r>
            <w:r>
              <w:rPr>
                <w:sz w:val="20"/>
              </w:rPr>
              <w:br/>
              <w:t>&lt;О нормативе расхода тепловой энергии на подогрев воды&gt;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</w:tr>
    </w:tbl>
    <w:p w:rsidR="00E67550" w:rsidRDefault="00E67550" w:rsidP="00E67550">
      <w:pPr>
        <w:pStyle w:val="ConsPlusNormal"/>
        <w:spacing w:before="240"/>
        <w:jc w:val="both"/>
      </w:pPr>
      <w:r>
        <w:t>Сообщается, в частности, что Постановлением Правительства РФ от 23.05.2006 N 306 утверждены Правила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 (далее - Правила N 306).</w:t>
      </w:r>
    </w:p>
    <w:p w:rsidR="00E67550" w:rsidRDefault="00E67550" w:rsidP="00E67550">
      <w:pPr>
        <w:pStyle w:val="ConsPlusNormal"/>
        <w:spacing w:before="240"/>
        <w:jc w:val="both"/>
      </w:pPr>
      <w:r>
        <w:t>Согласно пункту 24.1 приложения N 1 к Правилам N 306 норматив расхода тепловой энергии на подогрев воды (Гкал на 1 куб. м) при применении расчетного метода определяется по формуле 23.1.</w:t>
      </w:r>
    </w:p>
    <w:p w:rsidR="00E67550" w:rsidRDefault="00E67550" w:rsidP="00E67550">
      <w:pPr>
        <w:pStyle w:val="ConsPlusNormal"/>
        <w:spacing w:before="240"/>
        <w:jc w:val="both"/>
      </w:pPr>
      <w:r>
        <w:t xml:space="preserve">В случае установления на едином уровне норматива расхода тепловой энергии на подогрев </w:t>
      </w:r>
      <w:r>
        <w:lastRenderedPageBreak/>
        <w:t xml:space="preserve">воды в целях предоставления коммунальной услуги по горячему водоснабжению с использованием закрытой системы водоснабжения при установлении однокомпонентного тарифа на горячую воду применяемый в формуле 23.1 коэффициент </w:t>
      </w:r>
      <w:proofErr w:type="spellStart"/>
      <w:r>
        <w:t>Кn</w:t>
      </w:r>
      <w:proofErr w:type="spellEnd"/>
      <w:r>
        <w:t>, учитывающий нормативные потери тепла трубопроводами систем горячего водоснабжения, определяется по формуле 23.2.</w:t>
      </w:r>
    </w:p>
    <w:p w:rsidR="00E67550" w:rsidRDefault="00E67550" w:rsidP="00E67550">
      <w:pPr>
        <w:pStyle w:val="ConsPlusNormal"/>
        <w:jc w:val="both"/>
      </w:pPr>
    </w:p>
    <w:p w:rsidR="00E67550" w:rsidRDefault="00E67550" w:rsidP="00E67550">
      <w:pPr>
        <w:pStyle w:val="ConsPlusNormal"/>
        <w:jc w:val="both"/>
      </w:pPr>
      <w:r>
        <w:rPr>
          <w:b/>
        </w:rPr>
        <w:t>Разъяснены особенности определения размера платы за коммунальную услугу по горячему водоснабжению в МКД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67550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31B80ED" wp14:editId="612DE760">
                  <wp:extent cx="114300" cy="142875"/>
                  <wp:effectExtent l="0" t="0" r="0" b="0"/>
                  <wp:docPr id="8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67550" w:rsidRDefault="00E67550" w:rsidP="005611D8">
            <w:pPr>
              <w:pStyle w:val="ConsPlusNormal"/>
            </w:pPr>
            <w:r>
              <w:rPr>
                <w:sz w:val="20"/>
              </w:rPr>
              <w:t>&lt;Письмо&gt; Минстроя России от 28.04.2025 N 24963-ДН/04</w:t>
            </w:r>
            <w:r>
              <w:rPr>
                <w:sz w:val="20"/>
              </w:rPr>
              <w:br/>
              <w:t>&lt;О Правилах предоставления коммунальных услуг собственникам и пользователям помещений в многоквартирных домах и жилых домов&gt;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</w:tr>
    </w:tbl>
    <w:p w:rsidR="00E67550" w:rsidRDefault="00E67550" w:rsidP="00E67550">
      <w:pPr>
        <w:pStyle w:val="ConsPlusNormal"/>
        <w:spacing w:before="240"/>
        <w:jc w:val="both"/>
      </w:pPr>
      <w: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от 6 мая 2011 г. N 354, в письме приводятся формулы расчета размера платы за коммунальную услугу по горячему водоснабжению.</w:t>
      </w:r>
    </w:p>
    <w:p w:rsidR="00E67550" w:rsidRDefault="00E67550" w:rsidP="00E67550">
      <w:pPr>
        <w:pStyle w:val="ConsPlusNormal"/>
        <w:spacing w:before="240"/>
        <w:jc w:val="both"/>
      </w:pPr>
      <w:r>
        <w:t>Сообщается, что объем тепловой энергии, используемой на подогрев воды в целях предоставления коммунальной услуги по горячему водоснабжению, определяется исходя из норматива расхода тепловой энергии, используемой на подогрев воды в целях предоставления указанной коммунальной услуги.</w:t>
      </w:r>
    </w:p>
    <w:p w:rsidR="00E67550" w:rsidRDefault="00E67550" w:rsidP="00E67550">
      <w:pPr>
        <w:pStyle w:val="ConsPlusNormal"/>
        <w:spacing w:before="240"/>
        <w:jc w:val="both"/>
      </w:pPr>
      <w:r>
        <w:t>Применение в расчетах стоимости коммунальной услуги по горячему водоснабжению фактического объема тепловой энергии, затраченного на подогрев воды, определенного по показаниям прибора учета тепловой энергии, законом не предусмотрено.</w:t>
      </w:r>
    </w:p>
    <w:p w:rsidR="00E67550" w:rsidRDefault="00E67550" w:rsidP="00E67550">
      <w:pPr>
        <w:pStyle w:val="ConsPlusNormal"/>
        <w:spacing w:before="240"/>
        <w:jc w:val="both"/>
      </w:pPr>
      <w:r>
        <w:t>Также отмечены особенности определения размера платы за коммунальную услугу по отоплению при открытой системе теплоснабжения и закрытой системе теплоснабжения.</w:t>
      </w:r>
    </w:p>
    <w:p w:rsidR="00E67550" w:rsidRDefault="00E67550" w:rsidP="00E67550">
      <w:pPr>
        <w:pStyle w:val="ConsPlusNormal"/>
        <w:jc w:val="both"/>
      </w:pPr>
    </w:p>
    <w:p w:rsidR="00E67550" w:rsidRDefault="00E67550" w:rsidP="00E67550">
      <w:pPr>
        <w:pStyle w:val="ConsPlusNormal"/>
        <w:jc w:val="both"/>
      </w:pPr>
      <w:r>
        <w:rPr>
          <w:b/>
        </w:rPr>
        <w:t>Даны разъяснения по вопросу проведения работ по текущему ремонту общего имущества в многоквартирном доме и оплате таких работ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67550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9124191" wp14:editId="0C6A1C8A">
                  <wp:extent cx="114300" cy="142875"/>
                  <wp:effectExtent l="0" t="0" r="0" b="0"/>
                  <wp:docPr id="8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67550" w:rsidRDefault="00E67550" w:rsidP="005611D8">
            <w:pPr>
              <w:pStyle w:val="ConsPlusNormal"/>
            </w:pPr>
            <w:r>
              <w:rPr>
                <w:sz w:val="20"/>
              </w:rPr>
              <w:t>&lt;Письмо&gt; Минстроя России от 05.05.2025 N 25980-ДН/04</w:t>
            </w:r>
            <w:r>
              <w:rPr>
                <w:sz w:val="20"/>
              </w:rPr>
              <w:br/>
              <w:t>&lt;О проведении и оплате работ по текущему ремонту общего имущества в многоквартирном доме&gt;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</w:tr>
    </w:tbl>
    <w:p w:rsidR="00E67550" w:rsidRDefault="00E67550" w:rsidP="00E67550">
      <w:pPr>
        <w:pStyle w:val="ConsPlusNormal"/>
        <w:spacing w:before="240"/>
        <w:jc w:val="both"/>
      </w:pPr>
      <w:r>
        <w:t>В частности, со ссылками на действующее законодательство в письме отмечено следующее:</w:t>
      </w:r>
    </w:p>
    <w:p w:rsidR="00E67550" w:rsidRDefault="00E67550" w:rsidP="00E67550">
      <w:pPr>
        <w:pStyle w:val="ConsPlusNormal"/>
        <w:spacing w:before="240"/>
        <w:jc w:val="both"/>
      </w:pPr>
      <w:r>
        <w:t>управляющие организации обязаны выполнять все необходимые работы, обеспечивающие надлежащее состояние общего имущества в МКД;</w:t>
      </w:r>
    </w:p>
    <w:p w:rsidR="00E67550" w:rsidRDefault="00E67550" w:rsidP="00E67550">
      <w:pPr>
        <w:pStyle w:val="ConsPlusNormal"/>
        <w:spacing w:before="240"/>
        <w:jc w:val="both"/>
      </w:pPr>
      <w:r>
        <w:t>собственники помещений в МКД обязаны оплачивать работы по текущему ремонту общего имущества в МКД в составе платы за содержание жилого помещения;</w:t>
      </w:r>
    </w:p>
    <w:p w:rsidR="00E67550" w:rsidRDefault="00E67550" w:rsidP="00E67550">
      <w:pPr>
        <w:pStyle w:val="ConsPlusNormal"/>
        <w:spacing w:before="240"/>
        <w:jc w:val="both"/>
      </w:pPr>
      <w:r>
        <w:t>работы, выполняемые управляющей организацией в рамках договора управления МКД, подлежат оплате собственниками помещений в МКД в составе платы за содержание жилого помещения, порядок определения размера которой устанавливается договором управления МКД.</w:t>
      </w:r>
    </w:p>
    <w:p w:rsidR="00E67550" w:rsidRDefault="00E67550" w:rsidP="00E67550">
      <w:pPr>
        <w:pStyle w:val="ConsPlusNormal"/>
        <w:jc w:val="both"/>
      </w:pPr>
    </w:p>
    <w:p w:rsidR="00E67550" w:rsidRDefault="00E67550" w:rsidP="00E67550">
      <w:pPr>
        <w:pStyle w:val="ConsPlusNormal"/>
        <w:jc w:val="both"/>
      </w:pPr>
      <w:proofErr w:type="spellStart"/>
      <w:r>
        <w:rPr>
          <w:b/>
        </w:rPr>
        <w:t>Минцифры</w:t>
      </w:r>
      <w:proofErr w:type="spellEnd"/>
      <w:r>
        <w:rPr>
          <w:b/>
        </w:rPr>
        <w:t>: ИТ-компании, желающие участвовать в программе льготной ИТ-ипотеки, должны подтвердить свое участие до 20 мая 2025 года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67550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DD58AD6" wp14:editId="643C1020">
                  <wp:extent cx="114300" cy="142875"/>
                  <wp:effectExtent l="0" t="0" r="0" b="0"/>
                  <wp:docPr id="8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67550" w:rsidRDefault="00E67550" w:rsidP="005611D8">
            <w:pPr>
              <w:pStyle w:val="ConsPlusNormal"/>
            </w:pPr>
            <w:r>
              <w:rPr>
                <w:sz w:val="20"/>
              </w:rPr>
              <w:t>&lt;</w:t>
            </w:r>
            <w:hyperlink r:id="rId5">
              <w:r>
                <w:rPr>
                  <w:color w:val="0000FF"/>
                  <w:sz w:val="20"/>
                </w:rPr>
                <w:t>Информация</w:t>
              </w:r>
            </w:hyperlink>
            <w:r>
              <w:rPr>
                <w:sz w:val="20"/>
              </w:rPr>
              <w:t xml:space="preserve">&gt; </w:t>
            </w:r>
            <w:proofErr w:type="spellStart"/>
            <w:r>
              <w:rPr>
                <w:sz w:val="20"/>
              </w:rPr>
              <w:t>Минцифры</w:t>
            </w:r>
            <w:proofErr w:type="spellEnd"/>
            <w:r>
              <w:rPr>
                <w:sz w:val="20"/>
              </w:rPr>
              <w:t xml:space="preserve"> России от 07.05.2025 "Успейте подтвердить участие в программе ИТ-ипотеки"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550" w:rsidRDefault="00E67550" w:rsidP="005611D8">
            <w:pPr>
              <w:pStyle w:val="ConsPlusNormal"/>
            </w:pPr>
          </w:p>
        </w:tc>
      </w:tr>
    </w:tbl>
    <w:p w:rsidR="00E67550" w:rsidRDefault="00E67550" w:rsidP="00E67550">
      <w:pPr>
        <w:pStyle w:val="ConsPlusNormal"/>
        <w:spacing w:before="240"/>
        <w:jc w:val="both"/>
      </w:pPr>
      <w:r>
        <w:t>В указанный период следует направить согласие на раскрытие налоговой тайны в ФНС для получения информации о том, что заемщик работает в компании, применяющей налоговые льготы, поскольку это является одним из главных требований для получения ИТ-ипотеки.</w:t>
      </w:r>
    </w:p>
    <w:p w:rsidR="00E67550" w:rsidRDefault="00E67550" w:rsidP="00E67550">
      <w:pPr>
        <w:pStyle w:val="ConsPlusNormal"/>
        <w:spacing w:before="240"/>
        <w:jc w:val="both"/>
      </w:pPr>
      <w:r>
        <w:t>Организации должны заполнить по инструкции форму согласия, указав код 10062.</w:t>
      </w:r>
    </w:p>
    <w:p w:rsidR="00E67550" w:rsidRDefault="00E67550" w:rsidP="00E67550">
      <w:pPr>
        <w:pStyle w:val="ConsPlusNormal"/>
        <w:spacing w:before="240"/>
        <w:jc w:val="both"/>
      </w:pPr>
      <w:r>
        <w:t>Если компания своевременно не передаст согласие в ФНС, ее сотрудники не смогут в 2025 году получить ИТ-ипотеку на льготных условиях.</w:t>
      </w:r>
    </w:p>
    <w:p w:rsidR="00E67550" w:rsidRDefault="00E67550" w:rsidP="00E67550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87"/>
    <w:rsid w:val="00420F87"/>
    <w:rsid w:val="00C52FAD"/>
    <w:rsid w:val="00E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3FF1-E0BA-447B-89A0-FD7918C0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55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rage.consultant.ru/site20/202505/07/mintsifr_070525-itipotek.rt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5018</Characters>
  <Application>Microsoft Office Word</Application>
  <DocSecurity>0</DocSecurity>
  <Lines>41</Lines>
  <Paragraphs>11</Paragraphs>
  <ScaleCrop>false</ScaleCrop>
  <Company>diakov.net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2025-06-27T11:02:00Z</dcterms:created>
  <dcterms:modified xsi:type="dcterms:W3CDTF">2025-06-27T11:02:00Z</dcterms:modified>
</cp:coreProperties>
</file>