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79" w:rsidRDefault="003D6879" w:rsidP="003D6879">
      <w:pPr>
        <w:pStyle w:val="ConsPlusNormal"/>
        <w:jc w:val="both"/>
        <w:outlineLvl w:val="1"/>
      </w:pPr>
      <w:r>
        <w:rPr>
          <w:b/>
        </w:rPr>
        <w:t>ГРАЖДАНСКОЕ ПРАВО</w:t>
      </w:r>
    </w:p>
    <w:p w:rsidR="003D6879" w:rsidRDefault="003D6879" w:rsidP="003D6879">
      <w:pPr>
        <w:pStyle w:val="ConsPlusNormal"/>
        <w:spacing w:before="240"/>
        <w:jc w:val="both"/>
      </w:pPr>
      <w:r>
        <w:rPr>
          <w:b/>
        </w:rPr>
        <w:t>Установлены правила расчета вознаграждения за использование правомерно обнародованных произведений литературы, искусства, фотографии и ее аналогов, музыкальных произведений, фонограмм и исполнений, авторы или иные правообладатели которых предполагаются неизвестными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D687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9A6050A" wp14:editId="611C2261">
                  <wp:extent cx="114300" cy="142875"/>
                  <wp:effectExtent l="0" t="0" r="0" b="0"/>
                  <wp:docPr id="8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6879" w:rsidRDefault="003D687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592</w:t>
            </w:r>
            <w:r>
              <w:rPr>
                <w:sz w:val="20"/>
              </w:rPr>
              <w:br/>
              <w:t>"Об утверждении Правил расчета размера вознаграждения за использование правомерно обнародованных произведений литературы, изобразительного искусства, декоративно-прикладного искусства, фотографических произведений, произведений, полученных способами, аналогичными фотографии, музыкальных произведений (с текстом или без текста), фонограмм и исполнений, авторы или иные правообладатели которых предполагаются неизвестными, а также ставок этого вознаграждения"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</w:tr>
    </w:tbl>
    <w:p w:rsidR="003D6879" w:rsidRDefault="003D6879" w:rsidP="003D6879">
      <w:pPr>
        <w:pStyle w:val="ConsPlusNormal"/>
        <w:spacing w:before="240"/>
        <w:jc w:val="both"/>
      </w:pPr>
      <w:r>
        <w:t>Приведены в числе прочего порядок расчета и ставки вознаграждения за воспроизведение произведений, фонограмм и исполнений, в том числе путем создания их копий в электронной форме, за распространение путем продажи или иного отчуждения их экземпляров на электронных или материальных носителях, за их доведение до всеобщего сведения.</w:t>
      </w:r>
    </w:p>
    <w:p w:rsidR="003D6879" w:rsidRDefault="003D6879" w:rsidP="003D6879">
      <w:pPr>
        <w:pStyle w:val="ConsPlusNormal"/>
        <w:spacing w:before="240"/>
        <w:jc w:val="both"/>
      </w:pPr>
      <w:r>
        <w:t>Расчет вознаграждения производится организацией по управлению правами на коллективной основе, имеющей государственную аккредитацию на осуществление деятельности в сфере коллективного управления, предусмотренной подпунктом 7 пункта 1 статьи 1244 ГК РФ.</w:t>
      </w:r>
    </w:p>
    <w:p w:rsidR="003D6879" w:rsidRDefault="003D6879" w:rsidP="003D6879">
      <w:pPr>
        <w:pStyle w:val="ConsPlusNormal"/>
        <w:jc w:val="both"/>
      </w:pPr>
    </w:p>
    <w:p w:rsidR="003D6879" w:rsidRDefault="003D6879" w:rsidP="003D6879">
      <w:pPr>
        <w:pStyle w:val="ConsPlusNormal"/>
        <w:jc w:val="both"/>
      </w:pPr>
      <w:r>
        <w:rPr>
          <w:b/>
        </w:rPr>
        <w:t>Уточнены особенности управления и распоряжения отдельными объектами имущества, расположенными на территориях новых регионов, находящимися в государственной или муниципальной собственности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D687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F5FC399" wp14:editId="67DF8EAF">
                  <wp:extent cx="114300" cy="142875"/>
                  <wp:effectExtent l="0" t="0" r="0" b="0"/>
                  <wp:docPr id="8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6879" w:rsidRDefault="003D687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594</w:t>
            </w:r>
            <w:r>
              <w:rPr>
                <w:sz w:val="20"/>
              </w:rPr>
              <w:br/>
              <w:t>"О внесении изменений в некоторые акты Правительства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</w:tr>
    </w:tbl>
    <w:p w:rsidR="003D6879" w:rsidRDefault="003D6879" w:rsidP="003D6879">
      <w:pPr>
        <w:pStyle w:val="ConsPlusNormal"/>
        <w:spacing w:before="240"/>
        <w:jc w:val="both"/>
      </w:pPr>
      <w:r>
        <w:t>Кроме того, до 1 января 2027 года продлено действие постановления Правительства РФ от 29.12.2022 N 2502 "О порядке и случаях согласования правовых актов и других решений органов государственной власти Донецкой Народной Республики и Луганской Народной Республики, органов публичной власти Запорожской области и Херсонской области в отношении управления и распоряжения отдельными объектами имущества".</w:t>
      </w:r>
    </w:p>
    <w:p w:rsidR="003D6879" w:rsidRDefault="003D6879" w:rsidP="003D6879">
      <w:pPr>
        <w:pStyle w:val="ConsPlusNormal"/>
        <w:jc w:val="both"/>
      </w:pPr>
    </w:p>
    <w:p w:rsidR="003D6879" w:rsidRDefault="003D6879" w:rsidP="003D6879">
      <w:pPr>
        <w:pStyle w:val="ConsPlusNormal"/>
        <w:jc w:val="both"/>
      </w:pPr>
      <w:r>
        <w:rPr>
          <w:b/>
        </w:rPr>
        <w:t xml:space="preserve">Определены особенности </w:t>
      </w:r>
      <w:proofErr w:type="gramStart"/>
      <w:r>
        <w:rPr>
          <w:b/>
        </w:rPr>
        <w:t>списания</w:t>
      </w:r>
      <w:proofErr w:type="gramEnd"/>
      <w:r>
        <w:rPr>
          <w:b/>
        </w:rPr>
        <w:t xml:space="preserve"> находящегося в федеральной собственности движимого и недвижимого имущества, переданного по договорам безвозмездного пользования организациям ТЭК в соответствии с постановлением Правительства РФ от 29.12.2022 N 2501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D687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671C212" wp14:editId="552ECEA1">
                  <wp:extent cx="114300" cy="142875"/>
                  <wp:effectExtent l="0" t="0" r="0" b="0"/>
                  <wp:docPr id="8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6879" w:rsidRDefault="003D687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596</w:t>
            </w:r>
            <w:r>
              <w:rPr>
                <w:sz w:val="20"/>
              </w:rPr>
              <w:br/>
              <w:t>"О некоторых вопросах списания федерального имущества, переданного по договорам безвозмездного пользования организациям топливно-энергетического комплекса, и распоряжения имуществом, безвозмездно передаваемым указанными организациями в федеральную собственность взамен имущества, подлежащего списанию"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79" w:rsidRDefault="003D6879" w:rsidP="005611D8">
            <w:pPr>
              <w:pStyle w:val="ConsPlusNormal"/>
            </w:pPr>
          </w:p>
        </w:tc>
      </w:tr>
    </w:tbl>
    <w:p w:rsidR="003D6879" w:rsidRDefault="003D6879" w:rsidP="003D6879">
      <w:pPr>
        <w:pStyle w:val="ConsPlusNormal"/>
        <w:spacing w:before="240"/>
        <w:jc w:val="both"/>
      </w:pPr>
      <w:r>
        <w:t>Списание объектов имущества осуществляется в следующих случаях:</w:t>
      </w:r>
    </w:p>
    <w:p w:rsidR="003D6879" w:rsidRDefault="003D6879" w:rsidP="003D6879">
      <w:pPr>
        <w:pStyle w:val="ConsPlusNormal"/>
        <w:spacing w:before="240"/>
        <w:jc w:val="both"/>
      </w:pPr>
      <w:r>
        <w:t xml:space="preserve">объект имущества непригоден для дальнейшего использования по целевому назначению вследствие полной или частичной утраты потребительских свойств, в том числе </w:t>
      </w:r>
      <w:r>
        <w:lastRenderedPageBreak/>
        <w:t>физического или морального износа;</w:t>
      </w:r>
    </w:p>
    <w:p w:rsidR="003D6879" w:rsidRDefault="003D6879" w:rsidP="003D6879">
      <w:pPr>
        <w:pStyle w:val="ConsPlusNormal"/>
        <w:spacing w:before="240"/>
        <w:jc w:val="both"/>
      </w:pPr>
      <w:r>
        <w:t>объект имущества выбыл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3D6879" w:rsidRDefault="003D6879" w:rsidP="003D6879">
      <w:pPr>
        <w:pStyle w:val="ConsPlusNormal"/>
        <w:spacing w:before="240"/>
        <w:jc w:val="both"/>
      </w:pPr>
      <w:r>
        <w:t>Решение о списании принимается уполномоченным коллегиальным органом (комиссией), создаваемым организацией ТЭК, которой передано имущество по договору безвозмездного пользования.</w:t>
      </w:r>
    </w:p>
    <w:p w:rsidR="003D6879" w:rsidRDefault="003D6879" w:rsidP="003D6879">
      <w:pPr>
        <w:pStyle w:val="ConsPlusNormal"/>
        <w:jc w:val="both"/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3D6879" w:rsidRDefault="003D6879" w:rsidP="003D6879">
      <w:pPr>
        <w:pStyle w:val="ConsPlusNormal"/>
        <w:jc w:val="both"/>
        <w:outlineLvl w:val="1"/>
        <w:rPr>
          <w:b/>
        </w:rPr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1"/>
    <w:rsid w:val="003D6879"/>
    <w:rsid w:val="00B81A31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FF1F-B3C6-40A4-8627-D15AC13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8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>diakov.net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2025-06-27T11:01:00Z</dcterms:created>
  <dcterms:modified xsi:type="dcterms:W3CDTF">2025-06-27T11:01:00Z</dcterms:modified>
</cp:coreProperties>
</file>