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89" w:rsidRDefault="00D21E89" w:rsidP="00D21E89">
      <w:pPr>
        <w:pStyle w:val="ConsPlusNormal"/>
        <w:jc w:val="both"/>
        <w:outlineLvl w:val="1"/>
      </w:pPr>
      <w:r w:rsidRPr="00A224B5">
        <w:rPr>
          <w:b/>
        </w:rPr>
        <w:t>КОНСТИТУЦИОННЫЙ СТРОЙ. ОСНОВЫ ГОСУДАРСТВЕННОГО УПРАВЛЕНИЯ</w:t>
      </w:r>
    </w:p>
    <w:p w:rsidR="00D21E89" w:rsidRDefault="00D21E89" w:rsidP="00D21E89">
      <w:pPr>
        <w:pStyle w:val="ConsPlusNormal"/>
        <w:spacing w:before="240"/>
        <w:jc w:val="both"/>
      </w:pPr>
      <w:r>
        <w:rPr>
          <w:b/>
        </w:rPr>
        <w:t>Внесены уточнения в перечень нормативных правовых актов, в отношении которых не применяются положения Федерального закона "Об обязательных требованиях в Российской Федерации"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D21E89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E89" w:rsidRDefault="00D21E89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D21E89" w:rsidRDefault="00D21E89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16BAF2DD" wp14:editId="1D03C1AF">
                  <wp:extent cx="114300" cy="142875"/>
                  <wp:effectExtent l="0" t="0" r="0" b="0"/>
                  <wp:docPr id="8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D21E89" w:rsidRDefault="00D21E89" w:rsidP="005611D8">
            <w:pPr>
              <w:pStyle w:val="ConsPlusNormal"/>
            </w:pPr>
            <w:r>
              <w:rPr>
                <w:sz w:val="20"/>
              </w:rPr>
              <w:t>Постановление Правительства РФ от 30.04.2025 N 576</w:t>
            </w:r>
            <w:r>
              <w:rPr>
                <w:sz w:val="20"/>
              </w:rPr>
              <w:br/>
              <w:t>"О внесении изменений в постановление Правительства Российской Федерации от 31 декабря 2020 г. N 2467"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E89" w:rsidRDefault="00D21E89" w:rsidP="005611D8">
            <w:pPr>
              <w:pStyle w:val="ConsPlusNormal"/>
            </w:pPr>
          </w:p>
        </w:tc>
      </w:tr>
    </w:tbl>
    <w:p w:rsidR="00D21E89" w:rsidRDefault="00D21E89" w:rsidP="00D21E89">
      <w:pPr>
        <w:pStyle w:val="ConsPlusNormal"/>
        <w:spacing w:before="240"/>
        <w:jc w:val="both"/>
      </w:pPr>
      <w:r>
        <w:t>Изменениями корректируются сроки применения некоторых нормативных правовых актов, а также группы нормативных правовых актов.</w:t>
      </w:r>
    </w:p>
    <w:p w:rsidR="00D21E89" w:rsidRDefault="00D21E89" w:rsidP="00D21E89">
      <w:pPr>
        <w:pStyle w:val="ConsPlusNormal"/>
        <w:jc w:val="both"/>
      </w:pPr>
    </w:p>
    <w:p w:rsidR="00D21E89" w:rsidRDefault="00D21E89" w:rsidP="00D21E89">
      <w:pPr>
        <w:pStyle w:val="ConsPlusNormal"/>
        <w:jc w:val="both"/>
      </w:pPr>
      <w:r>
        <w:rPr>
          <w:b/>
        </w:rPr>
        <w:t>Внесены уточнения в перечень нормативных правовых актов, в отношении которых не применяются положения Федерального закона "Об обязательных требованиях в Российской Федерации"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D21E89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E89" w:rsidRDefault="00D21E89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D21E89" w:rsidRDefault="00D21E89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342A0F4C" wp14:editId="4C999D57">
                  <wp:extent cx="114300" cy="142875"/>
                  <wp:effectExtent l="0" t="0" r="0" b="0"/>
                  <wp:docPr id="8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D21E89" w:rsidRDefault="00D21E89" w:rsidP="005611D8">
            <w:pPr>
              <w:pStyle w:val="ConsPlusNormal"/>
            </w:pPr>
            <w:r>
              <w:rPr>
                <w:sz w:val="20"/>
              </w:rPr>
              <w:t>Постановление Правительства РФ от 30.04.2025 N 577</w:t>
            </w:r>
            <w:r>
              <w:rPr>
                <w:sz w:val="20"/>
              </w:rPr>
              <w:br/>
              <w:t>"О внесении изменений в постановление Правительства Российской Федерации от 31 декабря 2020 г. N 2467"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E89" w:rsidRDefault="00D21E89" w:rsidP="005611D8">
            <w:pPr>
              <w:pStyle w:val="ConsPlusNormal"/>
            </w:pPr>
          </w:p>
        </w:tc>
      </w:tr>
    </w:tbl>
    <w:p w:rsidR="00D21E89" w:rsidRDefault="00D21E89" w:rsidP="00D21E89">
      <w:pPr>
        <w:pStyle w:val="ConsPlusNormal"/>
        <w:spacing w:before="240"/>
        <w:jc w:val="both"/>
      </w:pPr>
      <w:r>
        <w:t>Из перечня исключаются приказы Минтранса от 5 августа 2014 г. N 217 "Об утверждении порядка формирования и регламента работы экспертных комиссий по проведению государственной экспертизы деклараций безопасности судоходных гидротехнических сооружений" и от 15 августа 2012 г. N 309 "Об утверждении Порядка централизованного учета результатов государственного портового контроля в информационной системе государственного портового контроля".</w:t>
      </w:r>
    </w:p>
    <w:p w:rsidR="00D21E89" w:rsidRDefault="00D21E89" w:rsidP="00D21E89">
      <w:pPr>
        <w:pStyle w:val="ConsPlusNormal"/>
        <w:jc w:val="both"/>
      </w:pPr>
    </w:p>
    <w:p w:rsidR="00D21E89" w:rsidRDefault="00D21E89" w:rsidP="00D21E89">
      <w:pPr>
        <w:pStyle w:val="ConsPlusNormal"/>
        <w:jc w:val="both"/>
      </w:pPr>
      <w:r>
        <w:rPr>
          <w:b/>
        </w:rPr>
        <w:t>Утвержден план мероприятий по реализации Стратегии развития системы государственной статистики и Росстата до 2030 года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D21E89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E89" w:rsidRDefault="00D21E89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D21E89" w:rsidRDefault="00D21E89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3C35FE6E" wp14:editId="7E6E840B">
                  <wp:extent cx="114300" cy="142875"/>
                  <wp:effectExtent l="0" t="0" r="0" b="0"/>
                  <wp:docPr id="8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D21E89" w:rsidRDefault="00D21E89" w:rsidP="005611D8">
            <w:pPr>
              <w:pStyle w:val="ConsPlusNormal"/>
            </w:pPr>
            <w:r>
              <w:rPr>
                <w:sz w:val="20"/>
              </w:rPr>
              <w:t>Распоряжение Правительства РФ от 30.04.2025 N 1083-р</w:t>
            </w:r>
            <w:r>
              <w:rPr>
                <w:sz w:val="20"/>
              </w:rPr>
              <w:br/>
              <w:t>&lt;Об утверждении Плана мероприятий по реализации Стратегии развития системы государственной статистики и Росстата до 2030 года&gt;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E89" w:rsidRDefault="00D21E89" w:rsidP="005611D8">
            <w:pPr>
              <w:pStyle w:val="ConsPlusNormal"/>
            </w:pPr>
          </w:p>
        </w:tc>
      </w:tr>
    </w:tbl>
    <w:p w:rsidR="00D21E89" w:rsidRDefault="00D21E89" w:rsidP="00D21E89">
      <w:pPr>
        <w:pStyle w:val="ConsPlusNormal"/>
        <w:spacing w:before="240"/>
        <w:jc w:val="both"/>
      </w:pPr>
      <w:r>
        <w:t>В плане предусмотрены мероприятия, в числе прочего, по выявлению потребностей в информации, планированию и обеспечению качества статистических данных, совершенствованию системы сбора и обработки статистических данных, а также системы их распространения, усилению информационной безопасности и защиты информации.</w:t>
      </w:r>
    </w:p>
    <w:p w:rsidR="00D21E89" w:rsidRDefault="00D21E89" w:rsidP="00D21E89">
      <w:pPr>
        <w:pStyle w:val="ConsPlusNormal"/>
        <w:jc w:val="both"/>
      </w:pPr>
    </w:p>
    <w:p w:rsidR="00D21E89" w:rsidRDefault="00D21E89" w:rsidP="00D21E89">
      <w:pPr>
        <w:pStyle w:val="ConsPlusNormal"/>
        <w:jc w:val="both"/>
      </w:pPr>
      <w:r>
        <w:rPr>
          <w:b/>
        </w:rPr>
        <w:t>Правительством утвержден список нормативных словарей, справочников и грамматик, фиксирующих нормы современного русского литературного языка при его использовании в качестве государственного языка РФ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D21E89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E89" w:rsidRDefault="00D21E89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D21E89" w:rsidRDefault="00D21E89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70CCA223" wp14:editId="75751A90">
                  <wp:extent cx="114300" cy="142875"/>
                  <wp:effectExtent l="0" t="0" r="0" b="0"/>
                  <wp:docPr id="8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D21E89" w:rsidRDefault="00D21E89" w:rsidP="005611D8">
            <w:pPr>
              <w:pStyle w:val="ConsPlusNormal"/>
            </w:pPr>
            <w:r>
              <w:rPr>
                <w:sz w:val="20"/>
              </w:rPr>
              <w:t>Распоряжение Правительства РФ от 30.04.2025 N 1102-р</w:t>
            </w:r>
            <w:r>
              <w:rPr>
                <w:sz w:val="20"/>
              </w:rPr>
              <w:br/>
              <w:t>&lt;Об утверждении списка нормативных словарей, справочников и грамматик, фиксирующих нормы современного русского литературного языка при его использовании в качестве государственного языка Российской Федерации&gt;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E89" w:rsidRDefault="00D21E89" w:rsidP="005611D8">
            <w:pPr>
              <w:pStyle w:val="ConsPlusNormal"/>
            </w:pPr>
          </w:p>
        </w:tc>
      </w:tr>
    </w:tbl>
    <w:p w:rsidR="00D21E89" w:rsidRDefault="00D21E89" w:rsidP="00D21E89">
      <w:pPr>
        <w:pStyle w:val="ConsPlusNormal"/>
        <w:spacing w:before="240"/>
        <w:jc w:val="both"/>
      </w:pPr>
      <w:proofErr w:type="spellStart"/>
      <w:r>
        <w:t>Минобрнауки</w:t>
      </w:r>
      <w:proofErr w:type="spellEnd"/>
      <w:r>
        <w:t xml:space="preserve"> необходимо обеспечить размещение включенных в список словарей в Национальном словарном фонде, а до его ввода в эксплуатацию - в открытом доступе в сети "Интернет" на официальном сайте Института русского языка им. В.В. Виноградова РАН.</w:t>
      </w:r>
    </w:p>
    <w:p w:rsidR="00D21E89" w:rsidRDefault="00D21E89" w:rsidP="00D21E89">
      <w:pPr>
        <w:pStyle w:val="ConsPlusNormal"/>
        <w:jc w:val="both"/>
      </w:pPr>
    </w:p>
    <w:p w:rsidR="00D21E89" w:rsidRDefault="00D21E89" w:rsidP="00D21E89">
      <w:pPr>
        <w:pStyle w:val="ConsPlusNormal"/>
        <w:jc w:val="both"/>
      </w:pPr>
      <w:r>
        <w:rPr>
          <w:b/>
        </w:rPr>
        <w:lastRenderedPageBreak/>
        <w:t>Дополнен перечень индикаторов риска нарушения обязательных требований при осуществлении федерального государственного контроля (надзора) в области железнодорожного транспорта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D21E89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E89" w:rsidRDefault="00D21E89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D21E89" w:rsidRDefault="00D21E89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2888FE46" wp14:editId="2A8F95ED">
                  <wp:extent cx="114300" cy="142875"/>
                  <wp:effectExtent l="0" t="0" r="0" b="0"/>
                  <wp:docPr id="8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D21E89" w:rsidRDefault="00D21E89" w:rsidP="005611D8">
            <w:pPr>
              <w:pStyle w:val="ConsPlusNormal"/>
            </w:pPr>
            <w:r>
              <w:rPr>
                <w:sz w:val="20"/>
              </w:rPr>
              <w:t>Приказ Минтранса России от 03.04.2025 N 117</w:t>
            </w:r>
            <w:r>
              <w:rPr>
                <w:sz w:val="20"/>
              </w:rPr>
              <w:br/>
              <w:t>"О внесении изменения в перечень индикаторов риска нарушения обязательных требований при осуществлении федерального государственного контроля (надзора) в области железнодорожного транспорта, утвержденный приказом Министерства транспорта Российской Федерации от 8 апреля 2024 г. N 113"</w:t>
            </w:r>
            <w:r>
              <w:rPr>
                <w:sz w:val="20"/>
              </w:rPr>
              <w:br/>
              <w:t>Зарегистрировано в Минюсте России 05.05.2025 N 82054.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E89" w:rsidRDefault="00D21E89" w:rsidP="005611D8">
            <w:pPr>
              <w:pStyle w:val="ConsPlusNormal"/>
            </w:pPr>
          </w:p>
        </w:tc>
      </w:tr>
    </w:tbl>
    <w:p w:rsidR="00D21E89" w:rsidRDefault="00D21E89" w:rsidP="00D21E89">
      <w:pPr>
        <w:pStyle w:val="ConsPlusNormal"/>
        <w:spacing w:before="240"/>
        <w:jc w:val="both"/>
      </w:pPr>
      <w:r>
        <w:t xml:space="preserve">Таким индикатором является в том числе выявление двух случаев </w:t>
      </w:r>
      <w:proofErr w:type="spellStart"/>
      <w:r>
        <w:t>травмирования</w:t>
      </w:r>
      <w:proofErr w:type="spellEnd"/>
      <w:r>
        <w:t xml:space="preserve"> граждан, произошедших на одном и том же пешеходном переходе через железнодорожные пути общего пользования, принадлежащем контролируемому лицу, осуществляющему деятельность по эксплуатации инфраструктуры железнодорожного транспорта общего пользования, в течение года со дня выявления первого случая такого </w:t>
      </w:r>
      <w:proofErr w:type="spellStart"/>
      <w:r>
        <w:t>травмирования</w:t>
      </w:r>
      <w:proofErr w:type="spellEnd"/>
      <w:r>
        <w:t>.</w:t>
      </w:r>
    </w:p>
    <w:p w:rsidR="00D21E89" w:rsidRDefault="00D21E89" w:rsidP="00D21E89">
      <w:pPr>
        <w:pStyle w:val="ConsPlusNormal"/>
        <w:jc w:val="both"/>
      </w:pPr>
    </w:p>
    <w:p w:rsidR="00D21E89" w:rsidRDefault="00D21E89" w:rsidP="00D21E89">
      <w:pPr>
        <w:pStyle w:val="ConsPlusNormal"/>
        <w:jc w:val="both"/>
      </w:pPr>
      <w:r>
        <w:rPr>
          <w:b/>
        </w:rPr>
        <w:t>Утверждена дорожная карта реализации приоритетного проекта "Гильотина 2.0" по направлению "Взлетно-посадочная полоса (аэродром)"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D21E89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E89" w:rsidRDefault="00D21E89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D21E89" w:rsidRDefault="00D21E89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61777E69" wp14:editId="40396FC4">
                  <wp:extent cx="114300" cy="142875"/>
                  <wp:effectExtent l="0" t="0" r="0" b="0"/>
                  <wp:docPr id="8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D21E89" w:rsidRDefault="00D21E89" w:rsidP="005611D8">
            <w:pPr>
              <w:pStyle w:val="ConsPlusNormal"/>
            </w:pPr>
            <w:r>
              <w:rPr>
                <w:sz w:val="20"/>
              </w:rPr>
              <w:t>"Дорожная карта реализации приоритетного проекта "Гильотина 2.0" по направлению "Взлетно-посадочная полоса (аэродром)"</w:t>
            </w:r>
            <w:r>
              <w:rPr>
                <w:sz w:val="20"/>
              </w:rPr>
              <w:br/>
              <w:t>(утв. Правительством РФ 15.04.2025 N ДГ-П36-14762)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E89" w:rsidRDefault="00D21E89" w:rsidP="005611D8">
            <w:pPr>
              <w:pStyle w:val="ConsPlusNormal"/>
            </w:pPr>
          </w:p>
        </w:tc>
      </w:tr>
    </w:tbl>
    <w:p w:rsidR="00D21E89" w:rsidRDefault="00D21E89" w:rsidP="00D21E89">
      <w:pPr>
        <w:pStyle w:val="ConsPlusNormal"/>
        <w:spacing w:before="240"/>
        <w:jc w:val="both"/>
      </w:pPr>
      <w:r>
        <w:t>Приводится наименование соответствующего мероприятия, срок его реализации и планируемый результат, ответственный исполнитель.</w:t>
      </w:r>
    </w:p>
    <w:p w:rsidR="00D21E89" w:rsidRDefault="00D21E89" w:rsidP="00D21E89">
      <w:pPr>
        <w:pStyle w:val="ConsPlusNormal"/>
        <w:jc w:val="both"/>
      </w:pPr>
    </w:p>
    <w:p w:rsidR="00D21E89" w:rsidRDefault="00D21E89" w:rsidP="00D21E89">
      <w:pPr>
        <w:pStyle w:val="ConsPlusNormal"/>
        <w:jc w:val="both"/>
      </w:pPr>
      <w:r>
        <w:rPr>
          <w:b/>
        </w:rPr>
        <w:t>Утверждена дорожная карта реализации приоритетного проекта "Гильотина 2.0" по направлению "Гостиница"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D21E89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E89" w:rsidRDefault="00D21E89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D21E89" w:rsidRDefault="00D21E89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76818213" wp14:editId="616804DE">
                  <wp:extent cx="114300" cy="142875"/>
                  <wp:effectExtent l="0" t="0" r="0" b="0"/>
                  <wp:docPr id="8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D21E89" w:rsidRDefault="00D21E89" w:rsidP="005611D8">
            <w:pPr>
              <w:pStyle w:val="ConsPlusNormal"/>
            </w:pPr>
            <w:r>
              <w:rPr>
                <w:sz w:val="20"/>
              </w:rPr>
              <w:t>"Дорожная карта реализации приоритетного проекта "Гильотина 2.0" по направлению "Гостиница"</w:t>
            </w:r>
            <w:r>
              <w:rPr>
                <w:sz w:val="20"/>
              </w:rPr>
              <w:br/>
              <w:t>(утв. Правительством РФ 15.04.2025 N ДГ-П36-14764)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E89" w:rsidRDefault="00D21E89" w:rsidP="005611D8">
            <w:pPr>
              <w:pStyle w:val="ConsPlusNormal"/>
            </w:pPr>
          </w:p>
        </w:tc>
      </w:tr>
    </w:tbl>
    <w:p w:rsidR="00D21E89" w:rsidRDefault="00D21E89" w:rsidP="00D21E89">
      <w:pPr>
        <w:pStyle w:val="ConsPlusNormal"/>
        <w:spacing w:before="240"/>
        <w:jc w:val="both"/>
      </w:pPr>
      <w:r>
        <w:t>Приводится наименование мероприятия, срок его реализации и планируемый результат, ответственный исполнитель.</w:t>
      </w:r>
    </w:p>
    <w:p w:rsidR="00D21E89" w:rsidRDefault="00D21E89" w:rsidP="00D21E89">
      <w:pPr>
        <w:pStyle w:val="ConsPlusNormal"/>
        <w:jc w:val="both"/>
      </w:pPr>
    </w:p>
    <w:p w:rsidR="00D21E89" w:rsidRDefault="00D21E89" w:rsidP="00D21E89">
      <w:pPr>
        <w:pStyle w:val="ConsPlusNormal"/>
        <w:jc w:val="both"/>
      </w:pPr>
      <w:r>
        <w:rPr>
          <w:b/>
        </w:rPr>
        <w:t>Минэкономразвития России разработало два варианта сценарных условий функционирования экономики и основные параметры прогноза социально-экономического развития на 2026 год и на плановый период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D21E89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E89" w:rsidRDefault="00D21E89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D21E89" w:rsidRDefault="00D21E89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6E8F9D20" wp14:editId="168BC4B8">
                  <wp:extent cx="114300" cy="142875"/>
                  <wp:effectExtent l="0" t="0" r="0" b="0"/>
                  <wp:docPr id="8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D21E89" w:rsidRDefault="00D21E89" w:rsidP="005611D8">
            <w:pPr>
              <w:pStyle w:val="ConsPlusNormal"/>
            </w:pPr>
            <w:r>
              <w:rPr>
                <w:sz w:val="20"/>
              </w:rPr>
              <w:t>&lt;Информация&gt; Минэкономразвития России</w:t>
            </w:r>
            <w:r>
              <w:rPr>
                <w:sz w:val="20"/>
              </w:rPr>
              <w:br/>
              <w:t>"Сценарные условия функционирования экономики Российской Федерации, основные параметры прогноза социально-экономического развития Российской Федерации и прогнозируемые изменения цен (тарифов) на товары, услуги хозяйствующих субъектов, осуществляющих регулируемые виды деятельности в инфраструктурном секторе, на 2026 год и на плановый период 2027 и 2028 годов"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E89" w:rsidRDefault="00D21E89" w:rsidP="005611D8">
            <w:pPr>
              <w:pStyle w:val="ConsPlusNormal"/>
            </w:pPr>
          </w:p>
        </w:tc>
      </w:tr>
    </w:tbl>
    <w:p w:rsidR="00D21E89" w:rsidRDefault="00D21E89" w:rsidP="00D21E89">
      <w:pPr>
        <w:pStyle w:val="ConsPlusNormal"/>
        <w:spacing w:before="240"/>
        <w:jc w:val="both"/>
      </w:pPr>
      <w:r>
        <w:t>Базовый вариант описывает наиболее вероятный сценарий развития российской экономики. Консервативный вариант основан на предпосылках об ухудшении внешнеэкономических условий.</w:t>
      </w:r>
    </w:p>
    <w:p w:rsidR="00D21E89" w:rsidRDefault="00D21E89" w:rsidP="00D21E89">
      <w:pPr>
        <w:pStyle w:val="ConsPlusNormal"/>
        <w:spacing w:before="240"/>
        <w:jc w:val="both"/>
      </w:pPr>
      <w:r>
        <w:t>В январе - феврале 2025 г. рост российской экономики замедлился, но в целом остается на высоком уровне.</w:t>
      </w:r>
    </w:p>
    <w:p w:rsidR="00D21E89" w:rsidRDefault="00D21E89" w:rsidP="00D21E89">
      <w:pPr>
        <w:pStyle w:val="ConsPlusNormal"/>
        <w:spacing w:before="240"/>
        <w:jc w:val="both"/>
      </w:pPr>
      <w:r>
        <w:t>На рынке труда уровень безработицы в январе и феврале 2025 г. оставался на низком уровне - 2,4% рабочей силы.</w:t>
      </w:r>
    </w:p>
    <w:p w:rsidR="00D21E89" w:rsidRDefault="00D21E89" w:rsidP="00D21E89">
      <w:pPr>
        <w:pStyle w:val="ConsPlusNormal"/>
        <w:spacing w:before="240"/>
        <w:jc w:val="both"/>
      </w:pPr>
      <w:r>
        <w:lastRenderedPageBreak/>
        <w:t>Согласно базовому сценарию в 2025 г. будет продолжаться процесс переориентации приоритетных направлений внешней торговли в сторону нейтральных и дружественных стран. Импорт товаров в 2025 г. увеличится (прирост в реальном выражении составит 7,2%).</w:t>
      </w:r>
    </w:p>
    <w:p w:rsidR="00D21E89" w:rsidRDefault="00D21E89" w:rsidP="00D21E89">
      <w:pPr>
        <w:pStyle w:val="ConsPlusNormal"/>
        <w:spacing w:before="240"/>
        <w:jc w:val="both"/>
      </w:pPr>
      <w:r>
        <w:t>Курс рубля в 2025 г. в среднем за год составит 94,3 руб. за долл. США (92,4 руб. за долл. США в 2024 году).</w:t>
      </w:r>
    </w:p>
    <w:p w:rsidR="00D21E89" w:rsidRDefault="00D21E89" w:rsidP="00D21E89">
      <w:pPr>
        <w:pStyle w:val="ConsPlusNormal"/>
        <w:spacing w:before="240"/>
        <w:jc w:val="both"/>
      </w:pPr>
      <w:r>
        <w:t>Рост реальной заработной платы ожидается на 6,8 процента.</w:t>
      </w:r>
    </w:p>
    <w:p w:rsidR="00D21E89" w:rsidRDefault="00D21E89" w:rsidP="00D21E89">
      <w:pPr>
        <w:pStyle w:val="ConsPlusNormal"/>
        <w:spacing w:before="240"/>
        <w:jc w:val="both"/>
      </w:pPr>
      <w:r>
        <w:t>Консервативный сценарий предполагает эскалацию торговых войн, более серьезное замедление мировой экономики, что снизит мировой спрос и цены на нефть и другие традиционные товары российского экспорта.</w:t>
      </w:r>
    </w:p>
    <w:p w:rsidR="00D21E89" w:rsidRDefault="00D21E89" w:rsidP="00D21E89">
      <w:pPr>
        <w:pStyle w:val="ConsPlusNormal"/>
        <w:spacing w:before="240"/>
        <w:jc w:val="both"/>
      </w:pPr>
      <w:r>
        <w:t xml:space="preserve">Соответственно, прогнозируемая цена на нефть марки </w:t>
      </w:r>
      <w:proofErr w:type="spellStart"/>
      <w:r>
        <w:t>Брент</w:t>
      </w:r>
      <w:proofErr w:type="spellEnd"/>
      <w:r>
        <w:t xml:space="preserve"> в 2025 г. составит 58,1 долл. США за баррель и снизится до 50 долл. США за баррель в 2026 и последующих годах.</w:t>
      </w:r>
    </w:p>
    <w:p w:rsidR="00D21E89" w:rsidRDefault="00D21E89" w:rsidP="00D21E89">
      <w:pPr>
        <w:pStyle w:val="ConsPlusNormal"/>
        <w:spacing w:before="240"/>
        <w:jc w:val="both"/>
      </w:pPr>
      <w:r>
        <w:t>В результате инфляция в 2025 г. будет выше, чем в базовом варианте, и составит 8,2%.</w:t>
      </w:r>
    </w:p>
    <w:p w:rsidR="00D21E89" w:rsidRDefault="00D21E89" w:rsidP="00D21E89">
      <w:pPr>
        <w:pStyle w:val="ConsPlusNormal"/>
        <w:spacing w:before="240"/>
        <w:jc w:val="both"/>
      </w:pPr>
      <w:r>
        <w:t>В 2026 и 2027 годах прогнозный рост тарифов на электрическую энергию для населения составит 9,3% и 6,9% соответственно.</w:t>
      </w:r>
    </w:p>
    <w:p w:rsidR="00D21E89" w:rsidRDefault="00D21E89" w:rsidP="00D21E89">
      <w:pPr>
        <w:pStyle w:val="ConsPlusNormal"/>
        <w:spacing w:before="240"/>
        <w:jc w:val="both"/>
      </w:pPr>
      <w:r>
        <w:t>Параметры индексации тарифов на грузовые железнодорожные перевозки составят с 1 января 2026 г. - 10,4%, с 1 января 2027 г. - 8,8%, с 1 января 2028 г. - 6,2 процента.</w:t>
      </w:r>
    </w:p>
    <w:p w:rsidR="00D21E89" w:rsidRDefault="00D21E89" w:rsidP="00D21E89">
      <w:pPr>
        <w:pStyle w:val="ConsPlusNormal"/>
        <w:spacing w:before="240"/>
        <w:jc w:val="both"/>
      </w:pPr>
      <w:r>
        <w:t>В документе приведены также, в частности: сравнительная таблица основных показателей по вариантам прогнозов, основные макроэкономические параметры среднесрочного прогноза социально-экономического развития до 2028 года, прогноз показателей инфляции на период до 2028 года, прогноз индексов цен производителей и индексов-дефляторов по видам экономической деятельности на период до 2028 года.</w:t>
      </w:r>
    </w:p>
    <w:p w:rsidR="00C52FAD" w:rsidRDefault="00C52FAD">
      <w:bookmarkStart w:id="0" w:name="_GoBack"/>
      <w:bookmarkEnd w:id="0"/>
    </w:p>
    <w:sectPr w:rsidR="00C5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C8"/>
    <w:rsid w:val="000616C8"/>
    <w:rsid w:val="00C52FAD"/>
    <w:rsid w:val="00D2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CD2E8-DEED-4ED6-936E-51BB5E14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1E8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1030</Words>
  <Characters>5872</Characters>
  <Application>Microsoft Office Word</Application>
  <DocSecurity>0</DocSecurity>
  <Lines>48</Lines>
  <Paragraphs>13</Paragraphs>
  <ScaleCrop>false</ScaleCrop>
  <Company>diakov.net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2025-06-27T11:01:00Z</dcterms:created>
  <dcterms:modified xsi:type="dcterms:W3CDTF">2025-06-27T11:01:00Z</dcterms:modified>
</cp:coreProperties>
</file>