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4" w:rsidRDefault="005256F4" w:rsidP="005256F4">
      <w:pPr>
        <w:pStyle w:val="ConsPlusNormal"/>
        <w:jc w:val="both"/>
        <w:outlineLvl w:val="1"/>
      </w:pPr>
      <w:r>
        <w:rPr>
          <w:b/>
        </w:rPr>
        <w:t>ВАЛЮТНОЕ РЕГУЛИРОВАНИЕ</w:t>
      </w:r>
    </w:p>
    <w:p w:rsidR="005256F4" w:rsidRDefault="005256F4" w:rsidP="005256F4">
      <w:pPr>
        <w:pStyle w:val="ConsPlusNormal"/>
        <w:spacing w:before="240"/>
        <w:jc w:val="both"/>
      </w:pPr>
      <w:r>
        <w:rPr>
          <w:b/>
        </w:rPr>
        <w:t>Определен перечень видов иностранной валюты, которая может быть внесена в оплату уставного капитала кредитной организации, страховой организации и НПФ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5256F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6C99912" wp14:editId="0F02195D">
                  <wp:extent cx="114300" cy="142875"/>
                  <wp:effectExtent l="0" t="0" r="0" b="0"/>
                  <wp:docPr id="9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5256F4" w:rsidRDefault="005256F4" w:rsidP="005611D8">
            <w:pPr>
              <w:pStyle w:val="ConsPlusNormal"/>
            </w:pPr>
            <w:r>
              <w:rPr>
                <w:sz w:val="20"/>
              </w:rPr>
              <w:t>Решение Совета директоров Банка России от 24.04.2025</w:t>
            </w:r>
            <w:r>
              <w:rPr>
                <w:sz w:val="20"/>
              </w:rPr>
              <w:br/>
              <w:t>"О перечне видов иностранной валюты, которая может быть внесена в оплату уставного капитала кредитной организации, страховой организации и негосударственного пенсионного фонда"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</w:tr>
    </w:tbl>
    <w:p w:rsidR="005256F4" w:rsidRDefault="005256F4" w:rsidP="005256F4">
      <w:pPr>
        <w:pStyle w:val="ConsPlusNormal"/>
        <w:spacing w:before="240"/>
        <w:jc w:val="both"/>
      </w:pPr>
      <w:r>
        <w:t>Предусмотрены следующие иностранные валюты, в том числе: армянский драм, белорусский рубль, бразильский реал, дирхам ОАЭ, юань.</w:t>
      </w:r>
    </w:p>
    <w:p w:rsidR="005256F4" w:rsidRDefault="005256F4" w:rsidP="005256F4">
      <w:pPr>
        <w:pStyle w:val="ConsPlusNormal"/>
        <w:spacing w:before="240"/>
        <w:jc w:val="both"/>
      </w:pPr>
      <w:r>
        <w:t>Реализован Федеральный закон от 28.02.2025 N 18-ФЗ "О внесении изменений в отдельные законодательные акты Российской Федерации".</w:t>
      </w: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  <w:outlineLvl w:val="1"/>
      </w:pPr>
      <w:r>
        <w:rPr>
          <w:b/>
        </w:rPr>
        <w:t>БУХГАЛТЕРСКИЙ УЧЕТ. СТАТИСТИКА</w:t>
      </w:r>
    </w:p>
    <w:p w:rsidR="005256F4" w:rsidRDefault="005256F4" w:rsidP="005256F4">
      <w:pPr>
        <w:pStyle w:val="ConsPlusNormal"/>
        <w:spacing w:before="240"/>
        <w:jc w:val="both"/>
      </w:pPr>
      <w:r>
        <w:rPr>
          <w:b/>
        </w:rPr>
        <w:t>Утверждена с указаниями по заполнению новая форма федерального статистического наблюдения N 1-соцконтракт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5256F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E93C5BF" wp14:editId="66161CBB">
                  <wp:extent cx="114300" cy="142875"/>
                  <wp:effectExtent l="0" t="0" r="0" b="0"/>
                  <wp:docPr id="9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5256F4" w:rsidRDefault="005256F4" w:rsidP="005611D8">
            <w:pPr>
              <w:pStyle w:val="ConsPlusNormal"/>
            </w:pPr>
            <w:r>
              <w:rPr>
                <w:sz w:val="20"/>
              </w:rPr>
              <w:t>Приказ Росстата от 28.04.2025 N 212</w:t>
            </w:r>
            <w:r>
              <w:rPr>
                <w:sz w:val="20"/>
              </w:rPr>
              <w:br/>
              <w:t xml:space="preserve">"Об утверждении формы федерального статистического наблюдения N 1-соцконтракт "Сведения об оказании государственной социальной помощи на основании социального контракта, предоставляемой на условиях </w:t>
            </w:r>
            <w:proofErr w:type="spellStart"/>
            <w:r>
              <w:rPr>
                <w:sz w:val="20"/>
              </w:rPr>
              <w:t>софинансирования</w:t>
            </w:r>
            <w:proofErr w:type="spellEnd"/>
            <w:r>
              <w:rPr>
                <w:sz w:val="20"/>
              </w:rPr>
              <w:t xml:space="preserve"> из федерального бюджета" и указаний по ее заполнению"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</w:tr>
    </w:tbl>
    <w:p w:rsidR="005256F4" w:rsidRDefault="005256F4" w:rsidP="005256F4">
      <w:pPr>
        <w:pStyle w:val="ConsPlusNormal"/>
        <w:spacing w:before="240"/>
        <w:jc w:val="both"/>
      </w:pPr>
      <w:r>
        <w:t>Данные по форме предоставляют органы исполнительной власти субъекта РФ, осуществляющие функции в сфере социальной защиты населения.</w:t>
      </w:r>
    </w:p>
    <w:p w:rsidR="005256F4" w:rsidRDefault="005256F4" w:rsidP="005256F4">
      <w:pPr>
        <w:pStyle w:val="ConsPlusNormal"/>
        <w:spacing w:before="240"/>
        <w:jc w:val="both"/>
      </w:pPr>
      <w:r>
        <w:t>Признан утратившим силу приказ Росстата от 09.06.2021 N 322.</w:t>
      </w: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  <w:outlineLvl w:val="1"/>
      </w:pPr>
      <w:r>
        <w:rPr>
          <w:b/>
        </w:rPr>
        <w:t>ХОЗЯЙСТВЕННАЯ ДЕЯТЕЛЬНОСТЬ</w:t>
      </w:r>
    </w:p>
    <w:p w:rsidR="005256F4" w:rsidRDefault="005256F4" w:rsidP="005256F4">
      <w:pPr>
        <w:pStyle w:val="ConsPlusNormal"/>
        <w:spacing w:before="240"/>
        <w:jc w:val="both"/>
      </w:pPr>
      <w:r>
        <w:rPr>
          <w:b/>
        </w:rPr>
        <w:t>Утвержден перечень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5256F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95924CC" wp14:editId="6BE59168">
                  <wp:extent cx="114300" cy="142875"/>
                  <wp:effectExtent l="0" t="0" r="0" b="0"/>
                  <wp:docPr id="9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5256F4" w:rsidRDefault="005256F4" w:rsidP="005611D8">
            <w:pPr>
              <w:pStyle w:val="ConsPlusNormal"/>
            </w:pPr>
            <w:r>
              <w:rPr>
                <w:sz w:val="20"/>
              </w:rPr>
              <w:t>Распоряжение Правительства РФ от 24.04.2025 N 1021-р</w:t>
            </w:r>
            <w:r>
              <w:rPr>
                <w:sz w:val="20"/>
              </w:rPr>
              <w:br/>
              <w:t>&lt;Об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</w:tr>
    </w:tbl>
    <w:p w:rsidR="005256F4" w:rsidRDefault="005256F4" w:rsidP="005256F4">
      <w:pPr>
        <w:pStyle w:val="ConsPlusNormal"/>
        <w:spacing w:before="240"/>
        <w:jc w:val="both"/>
      </w:pPr>
      <w:r>
        <w:t>В числе мероприятий, в частности: освобождение земельного участка от деревьев, кустарников и сорных растений, от предметов, не связанных с его использованием и нахождение которых на привело к его захламлению; осушение или увлажнение земельного участка; рекультивация земель и др.</w:t>
      </w: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  <w:r>
        <w:rPr>
          <w:b/>
        </w:rPr>
        <w:t xml:space="preserve">Даны разъяснения по вопросу согласования с </w:t>
      </w:r>
      <w:proofErr w:type="spellStart"/>
      <w:r>
        <w:rPr>
          <w:b/>
        </w:rPr>
        <w:t>Ростехнадзором</w:t>
      </w:r>
      <w:proofErr w:type="spellEnd"/>
      <w:r>
        <w:rPr>
          <w:b/>
        </w:rPr>
        <w:t xml:space="preserve"> изменения местоположения границ охранных зон объектов электросетевого хозяйства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5256F4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10820D1" wp14:editId="0FDFCA45">
                  <wp:extent cx="114300" cy="142875"/>
                  <wp:effectExtent l="0" t="0" r="0" b="0"/>
                  <wp:docPr id="9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5256F4" w:rsidRDefault="005256F4" w:rsidP="005611D8">
            <w:pPr>
              <w:pStyle w:val="ConsPlusNormal"/>
            </w:pPr>
            <w:r>
              <w:rPr>
                <w:sz w:val="20"/>
              </w:rPr>
              <w:t>&lt;Письмо&gt; ППК "</w:t>
            </w:r>
            <w:proofErr w:type="spellStart"/>
            <w:r>
              <w:rPr>
                <w:sz w:val="20"/>
              </w:rPr>
              <w:t>Роскадастр</w:t>
            </w:r>
            <w:proofErr w:type="spellEnd"/>
            <w:r>
              <w:rPr>
                <w:sz w:val="20"/>
              </w:rPr>
              <w:t>" от 22.04.2025 N 18-0983/25</w:t>
            </w:r>
            <w:r>
              <w:rPr>
                <w:sz w:val="20"/>
              </w:rPr>
              <w:br/>
              <w:t>"О направлении для сведения и учета в работе копии писем ППК "</w:t>
            </w:r>
            <w:proofErr w:type="spellStart"/>
            <w:r>
              <w:rPr>
                <w:sz w:val="20"/>
              </w:rPr>
              <w:t>Роскадастр</w:t>
            </w:r>
            <w:proofErr w:type="spellEnd"/>
            <w:r>
              <w:rPr>
                <w:sz w:val="20"/>
              </w:rPr>
              <w:t xml:space="preserve">" и </w:t>
            </w:r>
            <w:proofErr w:type="spellStart"/>
            <w:r>
              <w:rPr>
                <w:sz w:val="20"/>
              </w:rPr>
              <w:t>Росреестра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6F4" w:rsidRDefault="005256F4" w:rsidP="005611D8">
            <w:pPr>
              <w:pStyle w:val="ConsPlusNormal"/>
            </w:pPr>
          </w:p>
        </w:tc>
      </w:tr>
    </w:tbl>
    <w:p w:rsidR="005256F4" w:rsidRDefault="005256F4" w:rsidP="005256F4">
      <w:pPr>
        <w:pStyle w:val="ConsPlusNormal"/>
        <w:spacing w:before="240"/>
        <w:jc w:val="both"/>
      </w:pPr>
      <w:r>
        <w:t xml:space="preserve">Сообщается, в частности, что в случае если объект, в связи с размещением которого </w:t>
      </w:r>
      <w:r>
        <w:lastRenderedPageBreak/>
        <w:t xml:space="preserve">установлена охранная зона, построен до даты вступления в силу Постановления Правительства РФ от 24 февраля 2009 г. N 160, определившего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(далее - Постановление N 160), в целях внесения в ЕГРН сведений об изменении границ охранной зоны, установленной в связи с размещением указанного объекта, не требуется согласование ее границ с </w:t>
      </w:r>
      <w:proofErr w:type="spellStart"/>
      <w:r>
        <w:t>Ростехнадзором</w:t>
      </w:r>
      <w:proofErr w:type="spellEnd"/>
      <w:r>
        <w:t>.</w:t>
      </w:r>
    </w:p>
    <w:p w:rsidR="005256F4" w:rsidRDefault="005256F4" w:rsidP="005256F4">
      <w:pPr>
        <w:pStyle w:val="ConsPlusNormal"/>
        <w:spacing w:before="240"/>
        <w:jc w:val="both"/>
      </w:pPr>
      <w:r>
        <w:t>При этом к направляемым правообладателем такого объекта документам необходимо в том числе приложить документ, подтверждающий завершение строительства данного объекта до даты вступления в силу Постановления N 160 (например, товарная накладная, подготовленная в унифицированной форме ТОРГ-12, акт о приеме-передаче основных средств (кроме зданий, сооружений), подготовленный в унифицированной форме N ОС-1, и др.).</w:t>
      </w:r>
    </w:p>
    <w:p w:rsidR="005256F4" w:rsidRDefault="005256F4" w:rsidP="005256F4">
      <w:pPr>
        <w:pStyle w:val="ConsPlusNormal"/>
        <w:spacing w:before="240"/>
        <w:jc w:val="both"/>
      </w:pPr>
      <w:r>
        <w:t xml:space="preserve">В случае если такой объект построен после вступления в силу Постановления N 160, по мнению </w:t>
      </w:r>
      <w:proofErr w:type="spellStart"/>
      <w:r>
        <w:t>Росреестра</w:t>
      </w:r>
      <w:proofErr w:type="spellEnd"/>
      <w:r>
        <w:t xml:space="preserve">, изменение границ охранной зоны, установленной в связи с его размещением, должно быть согласовано с </w:t>
      </w:r>
      <w:proofErr w:type="spellStart"/>
      <w:r>
        <w:t>Ростехнадзором</w:t>
      </w:r>
      <w:proofErr w:type="spellEnd"/>
      <w:r>
        <w:t>.</w:t>
      </w: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5256F4" w:rsidRDefault="005256F4" w:rsidP="005256F4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B6"/>
    <w:rsid w:val="005256F4"/>
    <w:rsid w:val="005F43B6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6540-B6E7-42A7-9CE5-8EB198F6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6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>diakov.net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2025-06-27T11:13:00Z</dcterms:created>
  <dcterms:modified xsi:type="dcterms:W3CDTF">2025-06-27T11:13:00Z</dcterms:modified>
</cp:coreProperties>
</file>