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83422F">
        <w:rPr>
          <w:rFonts w:ascii="Times New Roman" w:eastAsia="MS Mincho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сельскохозяйственный агрегат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 (далее — «Транспорт») имеющ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44BB7" w:rsidRPr="00144B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Культиватор противоэрозионный КПЭ-3,8; год выпуска – 1990.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не позднее чем через 30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 с момента его полной оплаты.</w:t>
      </w:r>
    </w:p>
    <w:p w:rsidR="00F234C1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5B2B1D" w:rsidRPr="00225AD4" w:rsidRDefault="005B2B1D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5B2B1D" w:rsidRPr="00225AD4" w:rsidRDefault="005B2B1D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договор составлен в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один экземпляр – Продавцу,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5B2B1D" w:rsidRDefault="005B2B1D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сельскохозяйственный агрегат</w:t>
      </w:r>
      <w:r w:rsidR="005B2B1D"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44BB7" w:rsidRPr="00144BB7">
        <w:rPr>
          <w:rFonts w:ascii="Times New Roman" w:eastAsia="Calibri" w:hAnsi="Times New Roman" w:cs="Times New Roman"/>
          <w:color w:val="000000"/>
          <w:sz w:val="28"/>
          <w:szCs w:val="28"/>
        </w:rPr>
        <w:t>Культиватор противоэрозионный КПЭ-3,8; год выпуска – 1990.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BA075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(Омская область, Называевский район, </w:t>
      </w:r>
      <w:proofErr w:type="gramStart"/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Искра</w:t>
      </w:r>
      <w:proofErr w:type="gramEnd"/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Горького,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12В)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6E0" w:rsidRDefault="007A26E0">
      <w:pPr>
        <w:spacing w:after="0" w:line="240" w:lineRule="auto"/>
      </w:pPr>
      <w:r>
        <w:separator/>
      </w:r>
    </w:p>
  </w:endnote>
  <w:endnote w:type="continuationSeparator" w:id="0">
    <w:p w:rsidR="007A26E0" w:rsidRDefault="007A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422F">
      <w:rPr>
        <w:noProof/>
      </w:rPr>
      <w:t>6</w:t>
    </w:r>
    <w:r>
      <w:fldChar w:fldCharType="end"/>
    </w:r>
  </w:p>
  <w:p w:rsidR="00576E42" w:rsidRDefault="007A26E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6E0" w:rsidRDefault="007A26E0">
      <w:pPr>
        <w:spacing w:after="0" w:line="240" w:lineRule="auto"/>
      </w:pPr>
      <w:r>
        <w:separator/>
      </w:r>
    </w:p>
  </w:footnote>
  <w:footnote w:type="continuationSeparator" w:id="0">
    <w:p w:rsidR="007A26E0" w:rsidRDefault="007A2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223AD"/>
    <w:rsid w:val="00131AA7"/>
    <w:rsid w:val="00144BB7"/>
    <w:rsid w:val="001E0292"/>
    <w:rsid w:val="0020242A"/>
    <w:rsid w:val="00207658"/>
    <w:rsid w:val="00225AD4"/>
    <w:rsid w:val="002A53AA"/>
    <w:rsid w:val="002D4A8D"/>
    <w:rsid w:val="002E3281"/>
    <w:rsid w:val="00360F73"/>
    <w:rsid w:val="003E1718"/>
    <w:rsid w:val="00463E6B"/>
    <w:rsid w:val="00534A5D"/>
    <w:rsid w:val="005B2B1D"/>
    <w:rsid w:val="006709ED"/>
    <w:rsid w:val="006D7053"/>
    <w:rsid w:val="00735107"/>
    <w:rsid w:val="007A2138"/>
    <w:rsid w:val="007A26E0"/>
    <w:rsid w:val="007B028A"/>
    <w:rsid w:val="0083422F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A0754"/>
    <w:rsid w:val="00BF4548"/>
    <w:rsid w:val="00D56C02"/>
    <w:rsid w:val="00DD6027"/>
    <w:rsid w:val="00DF3E5D"/>
    <w:rsid w:val="00E0040C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2022-11-15T05:18:00Z</dcterms:created>
  <dcterms:modified xsi:type="dcterms:W3CDTF">2024-11-27T09:32:00Z</dcterms:modified>
</cp:coreProperties>
</file>